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15195" w14:textId="77777777" w:rsidR="00A42155" w:rsidRPr="00A42155" w:rsidRDefault="00A42155" w:rsidP="00A42155">
      <w:pPr>
        <w:spacing w:before="100" w:beforeAutospacing="1" w:after="100" w:afterAutospacing="1" w:line="240" w:lineRule="auto"/>
        <w:outlineLvl w:val="2"/>
        <w:rPr>
          <w:rFonts w:ascii="Times New Roman" w:eastAsia="Times New Roman" w:hAnsi="Times New Roman" w:cs="Times New Roman"/>
          <w:b/>
          <w:bCs/>
          <w:kern w:val="0"/>
          <w:sz w:val="27"/>
          <w:szCs w:val="27"/>
          <w:lang w:eastAsia="it-IT"/>
          <w14:ligatures w14:val="none"/>
        </w:rPr>
      </w:pPr>
      <w:r w:rsidRPr="00A42155">
        <w:rPr>
          <w:rFonts w:ascii="Times New Roman" w:eastAsia="Times New Roman" w:hAnsi="Times New Roman" w:cs="Times New Roman"/>
          <w:b/>
          <w:bCs/>
          <w:kern w:val="0"/>
          <w:sz w:val="27"/>
          <w:szCs w:val="27"/>
          <w:lang w:eastAsia="it-IT"/>
          <w14:ligatures w14:val="none"/>
        </w:rPr>
        <w:t>15 TIROCINI EXTRACURRICULARI PRESSO LA DIVISIONE SEGRETERIA TECNICA DELL’ARBITRO BANCARIO FINANZIARIO E PRESSO IL SERVIZIO TUTELA INDIVIDUALE DEI CLIENTI</w:t>
      </w:r>
    </w:p>
    <w:p w14:paraId="4753B412" w14:textId="77777777" w:rsidR="00A42155" w:rsidRPr="00A42155" w:rsidRDefault="00A42155" w:rsidP="00A42155">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A42155">
        <w:rPr>
          <w:rFonts w:ascii="Times New Roman" w:eastAsia="Times New Roman" w:hAnsi="Times New Roman" w:cs="Times New Roman"/>
          <w:b/>
          <w:bCs/>
          <w:kern w:val="0"/>
          <w:sz w:val="24"/>
          <w:szCs w:val="24"/>
          <w:lang w:eastAsia="it-IT"/>
          <w14:ligatures w14:val="none"/>
        </w:rPr>
        <w:t>Obiettivi e contenuti</w:t>
      </w:r>
      <w:r w:rsidRPr="00A42155">
        <w:rPr>
          <w:rFonts w:ascii="Times New Roman" w:eastAsia="Times New Roman" w:hAnsi="Times New Roman" w:cs="Times New Roman"/>
          <w:kern w:val="0"/>
          <w:sz w:val="24"/>
          <w:szCs w:val="24"/>
          <w:lang w:eastAsia="it-IT"/>
          <w14:ligatures w14:val="none"/>
        </w:rPr>
        <w:br/>
        <w:t>L’iniziativa è diretta a favorire l’integrazione delle competenze maturate dai tirocinanti nei percorsi di studio universitario con una concreta esperienza presso la Divisione Segreteria tecnica dell’Arbitro Bancario Finanziario e presso la Divisione Arbitro Bancario Finanziario del Servizio Tutela individuale dei clienti.</w:t>
      </w:r>
      <w:r w:rsidRPr="00A42155">
        <w:rPr>
          <w:rFonts w:ascii="Times New Roman" w:eastAsia="Times New Roman" w:hAnsi="Times New Roman" w:cs="Times New Roman"/>
          <w:kern w:val="0"/>
          <w:sz w:val="24"/>
          <w:szCs w:val="24"/>
          <w:lang w:eastAsia="it-IT"/>
          <w14:ligatures w14:val="none"/>
        </w:rPr>
        <w:br/>
        <w:t>I tirocinanti saranno coinvolti in una o più delle attività svolte dalla Divisione Segreteria tecnica o dall’Unità che presiede al coordinamento: verifica preliminare della regolarità dei ricorsi e istruttoria delle controversie; analisi della normativa, della giurisprudenza e della dottrina sulla materia; elaborazione di documenti di sintesi delle decisioni dei Collegi; classificazione e catalogazione informatica dei ricorsi e delle decisioni.</w:t>
      </w:r>
      <w:r w:rsidRPr="00A42155">
        <w:rPr>
          <w:rFonts w:ascii="Times New Roman" w:eastAsia="Times New Roman" w:hAnsi="Times New Roman" w:cs="Times New Roman"/>
          <w:kern w:val="0"/>
          <w:sz w:val="24"/>
          <w:szCs w:val="24"/>
          <w:lang w:eastAsia="it-IT"/>
          <w14:ligatures w14:val="none"/>
        </w:rPr>
        <w:br/>
      </w:r>
      <w:r w:rsidRPr="00A42155">
        <w:rPr>
          <w:rFonts w:ascii="Times New Roman" w:eastAsia="Times New Roman" w:hAnsi="Times New Roman" w:cs="Times New Roman"/>
          <w:b/>
          <w:bCs/>
          <w:kern w:val="0"/>
          <w:sz w:val="24"/>
          <w:szCs w:val="24"/>
          <w:lang w:eastAsia="it-IT"/>
          <w14:ligatures w14:val="none"/>
        </w:rPr>
        <w:t>Numero di tirocini e sede di svolgimento</w:t>
      </w:r>
      <w:r w:rsidRPr="00A42155">
        <w:rPr>
          <w:rFonts w:ascii="Times New Roman" w:eastAsia="Times New Roman" w:hAnsi="Times New Roman" w:cs="Times New Roman"/>
          <w:kern w:val="0"/>
          <w:sz w:val="24"/>
          <w:szCs w:val="24"/>
          <w:lang w:eastAsia="it-IT"/>
          <w14:ligatures w14:val="none"/>
        </w:rPr>
        <w:br/>
        <w:t>12 tirocini si svolgeranno presso la Divisione Segreteria tecnica dell’Arbitro Bancario Finanziario della Sede di Roma della Banca d’Italia, in via XX Settembre 97/e; 3 tirocini si svolgeranno presso la Divisione Arbitro Bancario Finanziario del Servizio Tutela Individuale dei clienti, in via del Traforo 146, Roma.</w:t>
      </w:r>
      <w:r w:rsidRPr="00A42155">
        <w:rPr>
          <w:rFonts w:ascii="Times New Roman" w:eastAsia="Times New Roman" w:hAnsi="Times New Roman" w:cs="Times New Roman"/>
          <w:kern w:val="0"/>
          <w:sz w:val="24"/>
          <w:szCs w:val="24"/>
          <w:lang w:eastAsia="it-IT"/>
          <w14:ligatures w14:val="none"/>
        </w:rPr>
        <w:br/>
        <w:t>La Banca d’Italia si riserva di non assegnare i tirocini ove la procedura di selezione non consenta di individuare profili coerenti con le finalità dell’iniziativa e di interrompere anticipatamente gli stage per gravi e giustificati motivi quali, ad esempio, la mancata osservanza da parte degli interessati delle modalità di svolgimento degli stessi.</w:t>
      </w:r>
      <w:r w:rsidRPr="00A42155">
        <w:rPr>
          <w:rFonts w:ascii="Times New Roman" w:eastAsia="Times New Roman" w:hAnsi="Times New Roman" w:cs="Times New Roman"/>
          <w:kern w:val="0"/>
          <w:sz w:val="24"/>
          <w:szCs w:val="24"/>
          <w:lang w:eastAsia="it-IT"/>
          <w14:ligatures w14:val="none"/>
        </w:rPr>
        <w:br/>
      </w:r>
      <w:r w:rsidRPr="00A42155">
        <w:rPr>
          <w:rFonts w:ascii="Times New Roman" w:eastAsia="Times New Roman" w:hAnsi="Times New Roman" w:cs="Times New Roman"/>
          <w:b/>
          <w:bCs/>
          <w:kern w:val="0"/>
          <w:sz w:val="24"/>
          <w:szCs w:val="24"/>
          <w:lang w:eastAsia="it-IT"/>
          <w14:ligatures w14:val="none"/>
        </w:rPr>
        <w:t>Durata e periodo di avvio</w:t>
      </w:r>
      <w:r w:rsidRPr="00A42155">
        <w:rPr>
          <w:rFonts w:ascii="Times New Roman" w:eastAsia="Times New Roman" w:hAnsi="Times New Roman" w:cs="Times New Roman"/>
          <w:kern w:val="0"/>
          <w:sz w:val="24"/>
          <w:szCs w:val="24"/>
          <w:lang w:eastAsia="it-IT"/>
          <w14:ligatures w14:val="none"/>
        </w:rPr>
        <w:br/>
        <w:t>Le esperienze avranno la durata di 6 mesi e saranno avviate presumibilmente a partire dalla seconda metà del mese di ottobre 2024.</w:t>
      </w:r>
      <w:r w:rsidRPr="00A42155">
        <w:rPr>
          <w:rFonts w:ascii="Times New Roman" w:eastAsia="Times New Roman" w:hAnsi="Times New Roman" w:cs="Times New Roman"/>
          <w:kern w:val="0"/>
          <w:sz w:val="24"/>
          <w:szCs w:val="24"/>
          <w:lang w:eastAsia="it-IT"/>
          <w14:ligatures w14:val="none"/>
        </w:rPr>
        <w:br/>
        <w:t>Al termine dei 6 mesi, il rapporto si interrompe e non dà adito a successiva assunzione.</w:t>
      </w:r>
      <w:r w:rsidRPr="00A42155">
        <w:rPr>
          <w:rFonts w:ascii="Times New Roman" w:eastAsia="Times New Roman" w:hAnsi="Times New Roman" w:cs="Times New Roman"/>
          <w:kern w:val="0"/>
          <w:sz w:val="24"/>
          <w:szCs w:val="24"/>
          <w:lang w:eastAsia="it-IT"/>
          <w14:ligatures w14:val="none"/>
        </w:rPr>
        <w:br/>
      </w:r>
      <w:r w:rsidRPr="00A42155">
        <w:rPr>
          <w:rFonts w:ascii="Times New Roman" w:eastAsia="Times New Roman" w:hAnsi="Times New Roman" w:cs="Times New Roman"/>
          <w:b/>
          <w:bCs/>
          <w:kern w:val="0"/>
          <w:sz w:val="24"/>
          <w:szCs w:val="24"/>
          <w:lang w:eastAsia="it-IT"/>
          <w14:ligatures w14:val="none"/>
        </w:rPr>
        <w:t>Modalità di svolgimento</w:t>
      </w:r>
      <w:r w:rsidRPr="00A42155">
        <w:rPr>
          <w:rFonts w:ascii="Times New Roman" w:eastAsia="Times New Roman" w:hAnsi="Times New Roman" w:cs="Times New Roman"/>
          <w:kern w:val="0"/>
          <w:sz w:val="24"/>
          <w:szCs w:val="24"/>
          <w:lang w:eastAsia="it-IT"/>
          <w14:ligatures w14:val="none"/>
        </w:rPr>
        <w:br/>
        <w:t>Il tirocinio si svolgerà in presenza; la modalità mista di svolgimento potrà essere attivata in via eventuale, compatibilmente con le indicazioni e le esigenze organizzative della struttura ospitante. Il tirocinio si svolgerà tutti i giorni feriali, dal lunedì al venerdì, secondo un’articolazione oraria che sarà concordata con il tutor aziendale e che comporterà un impegno giornaliero medio non inferiore alle sei ore.</w:t>
      </w:r>
      <w:r w:rsidRPr="00A42155">
        <w:rPr>
          <w:rFonts w:ascii="Times New Roman" w:eastAsia="Times New Roman" w:hAnsi="Times New Roman" w:cs="Times New Roman"/>
          <w:kern w:val="0"/>
          <w:sz w:val="24"/>
          <w:szCs w:val="24"/>
          <w:lang w:eastAsia="it-IT"/>
          <w14:ligatures w14:val="none"/>
        </w:rPr>
        <w:br/>
      </w:r>
      <w:r w:rsidRPr="00A42155">
        <w:rPr>
          <w:rFonts w:ascii="Times New Roman" w:eastAsia="Times New Roman" w:hAnsi="Times New Roman" w:cs="Times New Roman"/>
          <w:b/>
          <w:bCs/>
          <w:kern w:val="0"/>
          <w:sz w:val="24"/>
          <w:szCs w:val="24"/>
          <w:lang w:eastAsia="it-IT"/>
          <w14:ligatures w14:val="none"/>
        </w:rPr>
        <w:t>Agevolazioni</w:t>
      </w:r>
      <w:r w:rsidRPr="00A42155">
        <w:rPr>
          <w:rFonts w:ascii="Times New Roman" w:eastAsia="Times New Roman" w:hAnsi="Times New Roman" w:cs="Times New Roman"/>
          <w:kern w:val="0"/>
          <w:sz w:val="24"/>
          <w:szCs w:val="24"/>
          <w:lang w:eastAsia="it-IT"/>
          <w14:ligatures w14:val="none"/>
        </w:rPr>
        <w:br/>
        <w:t>Ai tirocinanti sarà riconosciuta un’indennità di partecipazione pari a 1.000 (mille) euro lordi mensili, previa verifica del rispetto degli obblighi di assiduità e riservatezza; nei giorni di presenza presso i locali della Banca d’Italia, i tirocinanti potranno fruire gratuitamente del servizio di ristorazione nei modi e nelle forme previsti per il personale dell’Istituto.</w:t>
      </w:r>
      <w:r w:rsidRPr="00A42155">
        <w:rPr>
          <w:rFonts w:ascii="Times New Roman" w:eastAsia="Times New Roman" w:hAnsi="Times New Roman" w:cs="Times New Roman"/>
          <w:kern w:val="0"/>
          <w:sz w:val="24"/>
          <w:szCs w:val="24"/>
          <w:lang w:eastAsia="it-IT"/>
          <w14:ligatures w14:val="none"/>
        </w:rPr>
        <w:br/>
        <w:t>L’indennità è incompatibile con qualsiasi altro compenso - da attività lavorativa o assimilata - eventualmente percepito dai tirocinanti, anche sotto forma di borse di studio/di ricerca o assegni di dottorato. I candidati assegnatari dei tirocini, pertanto, saranno invitati a rinunciare a tali compensi per il periodo coperto dall’indennità corrisposta dalla Banca.</w:t>
      </w:r>
      <w:r w:rsidRPr="00A42155">
        <w:rPr>
          <w:rFonts w:ascii="Times New Roman" w:eastAsia="Times New Roman" w:hAnsi="Times New Roman" w:cs="Times New Roman"/>
          <w:kern w:val="0"/>
          <w:sz w:val="24"/>
          <w:szCs w:val="24"/>
          <w:lang w:eastAsia="it-IT"/>
          <w14:ligatures w14:val="none"/>
        </w:rPr>
        <w:br/>
      </w:r>
      <w:r w:rsidRPr="00A42155">
        <w:rPr>
          <w:rFonts w:ascii="Times New Roman" w:eastAsia="Times New Roman" w:hAnsi="Times New Roman" w:cs="Times New Roman"/>
          <w:b/>
          <w:bCs/>
          <w:kern w:val="0"/>
          <w:sz w:val="24"/>
          <w:szCs w:val="24"/>
          <w:lang w:eastAsia="it-IT"/>
          <w14:ligatures w14:val="none"/>
        </w:rPr>
        <w:t>Requisiti</w:t>
      </w:r>
      <w:r w:rsidRPr="00A42155">
        <w:rPr>
          <w:rFonts w:ascii="Times New Roman" w:eastAsia="Times New Roman" w:hAnsi="Times New Roman" w:cs="Times New Roman"/>
          <w:kern w:val="0"/>
          <w:sz w:val="24"/>
          <w:szCs w:val="24"/>
          <w:lang w:eastAsia="it-IT"/>
          <w14:ligatures w14:val="none"/>
        </w:rPr>
        <w:br/>
        <w:t>I requisiti per la partecipazione alla selezione sono i seguenti:</w:t>
      </w:r>
      <w:r w:rsidRPr="00A42155">
        <w:rPr>
          <w:rFonts w:ascii="Times New Roman" w:eastAsia="Times New Roman" w:hAnsi="Times New Roman" w:cs="Times New Roman"/>
          <w:kern w:val="0"/>
          <w:sz w:val="24"/>
          <w:szCs w:val="24"/>
          <w:lang w:eastAsia="it-IT"/>
          <w14:ligatures w14:val="none"/>
        </w:rPr>
        <w:br/>
        <w:t>1) possesso di laurea magistrale a ciclo unico/magistrale (o specialistica) in Giurisprudenza, conseguita presso l’Università degli Studi Roma Tre tra il 1°/11/2023 e la data di scadenza di presentazione delle domande, con un punteggio pari ad almeno 105/110 (o votazione equivalente); altro diploma equiparato al suddetto titolo ai sensi del Decreto Interministeriale 9 luglio 2009;</w:t>
      </w:r>
      <w:r w:rsidRPr="00A42155">
        <w:rPr>
          <w:rFonts w:ascii="Times New Roman" w:eastAsia="Times New Roman" w:hAnsi="Times New Roman" w:cs="Times New Roman"/>
          <w:kern w:val="0"/>
          <w:sz w:val="24"/>
          <w:szCs w:val="24"/>
          <w:lang w:eastAsia="it-IT"/>
          <w14:ligatures w14:val="none"/>
        </w:rPr>
        <w:br/>
        <w:t>2) età inferiore a 28 anni alla scadenza del termine per la presentazione delle candidature. Termine per la presentazione delle candidature e documentazione richiesta.</w:t>
      </w:r>
    </w:p>
    <w:p w14:paraId="712FE270" w14:textId="77777777" w:rsidR="00A42155" w:rsidRPr="00A42155" w:rsidRDefault="00A42155" w:rsidP="00A42155">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A42155">
        <w:rPr>
          <w:rFonts w:ascii="Times New Roman" w:eastAsia="Times New Roman" w:hAnsi="Times New Roman" w:cs="Times New Roman"/>
          <w:kern w:val="0"/>
          <w:sz w:val="24"/>
          <w:szCs w:val="24"/>
          <w:lang w:eastAsia="it-IT"/>
          <w14:ligatures w14:val="none"/>
        </w:rPr>
        <w:lastRenderedPageBreak/>
        <w:t>Le candidature dovranno essere inviate all’Università degli Studi Roma Tre</w:t>
      </w:r>
      <w:r w:rsidRPr="00A42155">
        <w:rPr>
          <w:rFonts w:ascii="Times New Roman" w:eastAsia="Times New Roman" w:hAnsi="Times New Roman" w:cs="Times New Roman"/>
          <w:b/>
          <w:bCs/>
          <w:kern w:val="0"/>
          <w:sz w:val="24"/>
          <w:szCs w:val="24"/>
          <w:lang w:eastAsia="it-IT"/>
          <w14:ligatures w14:val="none"/>
        </w:rPr>
        <w:t xml:space="preserve"> dal 3 giugno al 5 luglio 2024</w:t>
      </w:r>
      <w:r w:rsidRPr="00A42155">
        <w:rPr>
          <w:rFonts w:ascii="Times New Roman" w:eastAsia="Times New Roman" w:hAnsi="Times New Roman" w:cs="Times New Roman"/>
          <w:kern w:val="0"/>
          <w:sz w:val="24"/>
          <w:szCs w:val="24"/>
          <w:lang w:eastAsia="it-IT"/>
          <w14:ligatures w14:val="none"/>
        </w:rPr>
        <w:t xml:space="preserve">, tramite e-mail avente ad oggetto “BDI Segreteria Tecnica dell’Arbitro Bancario Finanziario e Servizio Tutela individuale dei clienti”, all’indirizzo candidatureavvisi.stage@uniroma3.it, </w:t>
      </w:r>
      <w:r w:rsidRPr="00A42155">
        <w:rPr>
          <w:rFonts w:ascii="Times New Roman" w:eastAsia="Times New Roman" w:hAnsi="Times New Roman" w:cs="Times New Roman"/>
          <w:b/>
          <w:bCs/>
          <w:kern w:val="0"/>
          <w:sz w:val="24"/>
          <w:szCs w:val="24"/>
          <w:lang w:eastAsia="it-IT"/>
          <w14:ligatures w14:val="none"/>
        </w:rPr>
        <w:t>in un unico file formato .pdf</w:t>
      </w:r>
      <w:r w:rsidRPr="00A42155">
        <w:rPr>
          <w:rFonts w:ascii="Times New Roman" w:eastAsia="Times New Roman" w:hAnsi="Times New Roman" w:cs="Times New Roman"/>
          <w:kern w:val="0"/>
          <w:sz w:val="24"/>
          <w:szCs w:val="24"/>
          <w:lang w:eastAsia="it-IT"/>
          <w14:ligatures w14:val="none"/>
        </w:rPr>
        <w:t xml:space="preserve"> contenente:</w:t>
      </w:r>
      <w:r w:rsidRPr="00A42155">
        <w:rPr>
          <w:rFonts w:ascii="Times New Roman" w:eastAsia="Times New Roman" w:hAnsi="Times New Roman" w:cs="Times New Roman"/>
          <w:kern w:val="0"/>
          <w:sz w:val="24"/>
          <w:szCs w:val="24"/>
          <w:lang w:eastAsia="it-IT"/>
          <w14:ligatures w14:val="none"/>
        </w:rPr>
        <w:br/>
        <w:t>1) [</w:t>
      </w:r>
      <w:proofErr w:type="spellStart"/>
      <w:r w:rsidRPr="00A42155">
        <w:rPr>
          <w:rFonts w:ascii="Times New Roman" w:eastAsia="Times New Roman" w:hAnsi="Times New Roman" w:cs="Times New Roman"/>
          <w:kern w:val="0"/>
          <w:sz w:val="24"/>
          <w:szCs w:val="24"/>
          <w:lang w:eastAsia="it-IT"/>
          <w14:ligatures w14:val="none"/>
        </w:rPr>
        <w:t>privateDownload</w:t>
      </w:r>
      <w:proofErr w:type="spellEnd"/>
      <w:r w:rsidRPr="00A42155">
        <w:rPr>
          <w:rFonts w:ascii="Times New Roman" w:eastAsia="Times New Roman" w:hAnsi="Times New Roman" w:cs="Times New Roman"/>
          <w:kern w:val="0"/>
          <w:sz w:val="24"/>
          <w:szCs w:val="24"/>
          <w:lang w:eastAsia="it-IT"/>
          <w14:ligatures w14:val="none"/>
        </w:rPr>
        <w:t xml:space="preserve"> </w:t>
      </w:r>
      <w:proofErr w:type="spellStart"/>
      <w:r w:rsidRPr="00A42155">
        <w:rPr>
          <w:rFonts w:ascii="Times New Roman" w:eastAsia="Times New Roman" w:hAnsi="Times New Roman" w:cs="Times New Roman"/>
          <w:kern w:val="0"/>
          <w:sz w:val="24"/>
          <w:szCs w:val="24"/>
          <w:lang w:eastAsia="it-IT"/>
          <w14:ligatures w14:val="none"/>
        </w:rPr>
        <w:t>idFile</w:t>
      </w:r>
      <w:proofErr w:type="spellEnd"/>
      <w:r w:rsidRPr="00A42155">
        <w:rPr>
          <w:rFonts w:ascii="Times New Roman" w:eastAsia="Times New Roman" w:hAnsi="Times New Roman" w:cs="Times New Roman"/>
          <w:kern w:val="0"/>
          <w:sz w:val="24"/>
          <w:szCs w:val="24"/>
          <w:lang w:eastAsia="it-IT"/>
          <w14:ligatures w14:val="none"/>
        </w:rPr>
        <w:t>="92230" label="domanda di ammissione alla selezione e dichiarazione sottoscritta ai sensi degli artt. 46 e 47 del D.P.R. n. 445/2000"] ;</w:t>
      </w:r>
      <w:r w:rsidRPr="00A42155">
        <w:rPr>
          <w:rFonts w:ascii="Times New Roman" w:eastAsia="Times New Roman" w:hAnsi="Times New Roman" w:cs="Times New Roman"/>
          <w:kern w:val="0"/>
          <w:sz w:val="24"/>
          <w:szCs w:val="24"/>
          <w:lang w:eastAsia="it-IT"/>
          <w14:ligatures w14:val="none"/>
        </w:rPr>
        <w:br/>
        <w:t>2) curriculum vitae;</w:t>
      </w:r>
      <w:r w:rsidRPr="00A42155">
        <w:rPr>
          <w:rFonts w:ascii="Times New Roman" w:eastAsia="Times New Roman" w:hAnsi="Times New Roman" w:cs="Times New Roman"/>
          <w:kern w:val="0"/>
          <w:sz w:val="24"/>
          <w:szCs w:val="24"/>
          <w:lang w:eastAsia="it-IT"/>
          <w14:ligatures w14:val="none"/>
        </w:rPr>
        <w:br/>
        <w:t>3) un abstract della tesi di laurea di non più di 350 parole;</w:t>
      </w:r>
      <w:r w:rsidRPr="00A42155">
        <w:rPr>
          <w:rFonts w:ascii="Times New Roman" w:eastAsia="Times New Roman" w:hAnsi="Times New Roman" w:cs="Times New Roman"/>
          <w:kern w:val="0"/>
          <w:sz w:val="24"/>
          <w:szCs w:val="24"/>
          <w:lang w:eastAsia="it-IT"/>
          <w14:ligatures w14:val="none"/>
        </w:rPr>
        <w:br/>
        <w:t>4) copia di un documento di riconoscimento in corso di validità.</w:t>
      </w:r>
      <w:r w:rsidRPr="00A42155">
        <w:rPr>
          <w:rFonts w:ascii="Times New Roman" w:eastAsia="Times New Roman" w:hAnsi="Times New Roman" w:cs="Times New Roman"/>
          <w:kern w:val="0"/>
          <w:sz w:val="24"/>
          <w:szCs w:val="24"/>
          <w:lang w:eastAsia="it-IT"/>
          <w14:ligatures w14:val="none"/>
        </w:rPr>
        <w:br/>
        <w:t>La Banca d'Italia si riserva di verificare l’effettivo possesso da parte dei candidati dei requisiti e dei titoli dichiarati e di disporre l’esclusione dalla selezione o l’interruzione dello stage nei confronti dei soggetti che risultino sprovvisti di uno o più requisiti o titoli ovvero qualora il candidato abbia un interesse anche potenziale in conflitto con quello della Banca d'Italia.</w:t>
      </w:r>
      <w:r w:rsidRPr="00A42155">
        <w:rPr>
          <w:rFonts w:ascii="Times New Roman" w:eastAsia="Times New Roman" w:hAnsi="Times New Roman" w:cs="Times New Roman"/>
          <w:kern w:val="0"/>
          <w:sz w:val="24"/>
          <w:szCs w:val="24"/>
          <w:lang w:eastAsia="it-IT"/>
          <w14:ligatures w14:val="none"/>
        </w:rPr>
        <w:br/>
        <w:t>I tirocini saranno attivati nel rispetto del Regolamento di Ateneo in materia di tirocini extracurriculari in vigore alla data di attivazione degli stessi.</w:t>
      </w:r>
      <w:r w:rsidRPr="00A42155">
        <w:rPr>
          <w:rFonts w:ascii="Times New Roman" w:eastAsia="Times New Roman" w:hAnsi="Times New Roman" w:cs="Times New Roman"/>
          <w:kern w:val="0"/>
          <w:sz w:val="24"/>
          <w:szCs w:val="24"/>
          <w:lang w:eastAsia="it-IT"/>
          <w14:ligatures w14:val="none"/>
        </w:rPr>
        <w:br/>
      </w:r>
      <w:r w:rsidRPr="00A42155">
        <w:rPr>
          <w:rFonts w:ascii="Times New Roman" w:eastAsia="Times New Roman" w:hAnsi="Times New Roman" w:cs="Times New Roman"/>
          <w:b/>
          <w:bCs/>
          <w:kern w:val="0"/>
          <w:sz w:val="24"/>
          <w:szCs w:val="24"/>
          <w:lang w:eastAsia="it-IT"/>
          <w14:ligatures w14:val="none"/>
        </w:rPr>
        <w:t>Selezione delle candidature</w:t>
      </w:r>
      <w:r w:rsidRPr="00A42155">
        <w:rPr>
          <w:rFonts w:ascii="Times New Roman" w:eastAsia="Times New Roman" w:hAnsi="Times New Roman" w:cs="Times New Roman"/>
          <w:kern w:val="0"/>
          <w:sz w:val="24"/>
          <w:szCs w:val="24"/>
          <w:lang w:eastAsia="it-IT"/>
          <w14:ligatures w14:val="none"/>
        </w:rPr>
        <w:br/>
        <w:t>L’Università acquisirà le candidature esclusivamente dai propri laureati; alla scadenza dell’avviso, procederà alla verifica del possesso dei requisiti di partecipazione sopra descritti da parte dei candidati; l’Università provvederà quindi a selezionare 9 nominativi sulla base dell’ordine decrescente del voto di laurea; a parità di voto, per data di laurea (dalla più recente alla meno recente) e, in caso di ulteriore parità, per minore età anagrafica.</w:t>
      </w:r>
      <w:r w:rsidRPr="00A42155">
        <w:rPr>
          <w:rFonts w:ascii="Times New Roman" w:eastAsia="Times New Roman" w:hAnsi="Times New Roman" w:cs="Times New Roman"/>
          <w:kern w:val="0"/>
          <w:sz w:val="24"/>
          <w:szCs w:val="24"/>
          <w:lang w:eastAsia="it-IT"/>
          <w14:ligatures w14:val="none"/>
        </w:rPr>
        <w:br/>
        <w:t>I candidati così individuati dall’Università potranno essere invitati a sostenere un colloquio con una Commissione nominata dalla Banca; il colloquio verterà sulle conoscenze necessarie allo svolgimento dello stage (tra le quali, quelle sull’ABF) e sulle motivazioni alla partecipazione.</w:t>
      </w:r>
      <w:r w:rsidRPr="00A42155">
        <w:rPr>
          <w:rFonts w:ascii="Times New Roman" w:eastAsia="Times New Roman" w:hAnsi="Times New Roman" w:cs="Times New Roman"/>
          <w:kern w:val="0"/>
          <w:sz w:val="24"/>
          <w:szCs w:val="24"/>
          <w:lang w:eastAsia="it-IT"/>
          <w14:ligatures w14:val="none"/>
        </w:rPr>
        <w:br/>
        <w:t>Nel corso del colloquio la Commissione apprezzerà, nell’ordine:</w:t>
      </w:r>
      <w:r w:rsidRPr="00A42155">
        <w:rPr>
          <w:rFonts w:ascii="Times New Roman" w:eastAsia="Times New Roman" w:hAnsi="Times New Roman" w:cs="Times New Roman"/>
          <w:kern w:val="0"/>
          <w:sz w:val="24"/>
          <w:szCs w:val="24"/>
          <w:lang w:eastAsia="it-IT"/>
          <w14:ligatures w14:val="none"/>
        </w:rPr>
        <w:br/>
        <w:t>1) l’andamento del colloquio stesso;</w:t>
      </w:r>
      <w:r w:rsidRPr="00A42155">
        <w:rPr>
          <w:rFonts w:ascii="Times New Roman" w:eastAsia="Times New Roman" w:hAnsi="Times New Roman" w:cs="Times New Roman"/>
          <w:kern w:val="0"/>
          <w:sz w:val="24"/>
          <w:szCs w:val="24"/>
          <w:lang w:eastAsia="it-IT"/>
          <w14:ligatures w14:val="none"/>
        </w:rPr>
        <w:br/>
        <w:t>2) l’attinenza dell’argomento della tesi di laurea con gli obiettivi del tirocinio e il settore di attività presso cui il tirocinio avrà luogo;</w:t>
      </w:r>
      <w:r w:rsidRPr="00A42155">
        <w:rPr>
          <w:rFonts w:ascii="Times New Roman" w:eastAsia="Times New Roman" w:hAnsi="Times New Roman" w:cs="Times New Roman"/>
          <w:kern w:val="0"/>
          <w:sz w:val="24"/>
          <w:szCs w:val="24"/>
          <w:lang w:eastAsia="it-IT"/>
          <w14:ligatures w14:val="none"/>
        </w:rPr>
        <w:br/>
        <w:t>3) gli eventuali progetti e/o pubblicazioni (paper, tesine, articoli) su argomenti inerenti agli obiettivi del tirocinio e al settore di attività presso cui il tirocinio avrà luogo;</w:t>
      </w:r>
      <w:r w:rsidRPr="00A42155">
        <w:rPr>
          <w:rFonts w:ascii="Times New Roman" w:eastAsia="Times New Roman" w:hAnsi="Times New Roman" w:cs="Times New Roman"/>
          <w:kern w:val="0"/>
          <w:sz w:val="24"/>
          <w:szCs w:val="24"/>
          <w:lang w:eastAsia="it-IT"/>
          <w14:ligatures w14:val="none"/>
        </w:rPr>
        <w:br/>
        <w:t>4) le eventuali ulteriori esperienze professionali e/o di studio attinenti al tirocinio.</w:t>
      </w:r>
      <w:r w:rsidRPr="00A42155">
        <w:rPr>
          <w:rFonts w:ascii="Times New Roman" w:eastAsia="Times New Roman" w:hAnsi="Times New Roman" w:cs="Times New Roman"/>
          <w:kern w:val="0"/>
          <w:sz w:val="24"/>
          <w:szCs w:val="24"/>
          <w:lang w:eastAsia="it-IT"/>
          <w14:ligatures w14:val="none"/>
        </w:rPr>
        <w:br/>
        <w:t>In esito ai colloqui, la Commissione individuerà i candidati ai quali assegnare i tirocini e definirà un elenco di idonei in ordine di merito - redatto sulla base dei criteri di selezione e dei titoli posseduti - dal quale attingere in caso di rinuncia da parte degli assegnatari o per avviare eventuali ulteriori stage della specie, al massimo entro un anno dalla definizione dell’elenco stesso.</w:t>
      </w:r>
      <w:r w:rsidRPr="00A42155">
        <w:rPr>
          <w:rFonts w:ascii="Times New Roman" w:eastAsia="Times New Roman" w:hAnsi="Times New Roman" w:cs="Times New Roman"/>
          <w:kern w:val="0"/>
          <w:sz w:val="24"/>
          <w:szCs w:val="24"/>
          <w:lang w:eastAsia="it-IT"/>
          <w14:ligatures w14:val="none"/>
        </w:rPr>
        <w:br/>
        <w:t>I colloqui si terranno presso la Sede di Roma della Banca d’Italia, via XX Settembre 97/e, 00187 – Roma, oppure a distanza, con modalità telematiche.</w:t>
      </w:r>
      <w:r w:rsidRPr="00A42155">
        <w:rPr>
          <w:rFonts w:ascii="Times New Roman" w:eastAsia="Times New Roman" w:hAnsi="Times New Roman" w:cs="Times New Roman"/>
          <w:kern w:val="0"/>
          <w:sz w:val="24"/>
          <w:szCs w:val="24"/>
          <w:lang w:eastAsia="it-IT"/>
          <w14:ligatures w14:val="none"/>
        </w:rPr>
        <w:br/>
      </w:r>
      <w:r w:rsidRPr="00A42155">
        <w:rPr>
          <w:rFonts w:ascii="Times New Roman" w:eastAsia="Times New Roman" w:hAnsi="Times New Roman" w:cs="Times New Roman"/>
          <w:b/>
          <w:bCs/>
          <w:kern w:val="0"/>
          <w:sz w:val="24"/>
          <w:szCs w:val="24"/>
          <w:lang w:eastAsia="it-IT"/>
          <w14:ligatures w14:val="none"/>
        </w:rPr>
        <w:t>Trattamento dei dati personali</w:t>
      </w:r>
      <w:r w:rsidRPr="00A42155">
        <w:rPr>
          <w:rFonts w:ascii="Times New Roman" w:eastAsia="Times New Roman" w:hAnsi="Times New Roman" w:cs="Times New Roman"/>
          <w:kern w:val="0"/>
          <w:sz w:val="24"/>
          <w:szCs w:val="24"/>
          <w:lang w:eastAsia="it-IT"/>
          <w14:ligatures w14:val="none"/>
        </w:rPr>
        <w:br/>
        <w:t>Ai sensi della normativa europea e nazionale in materia di privacy,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w:t>
      </w:r>
      <w:r w:rsidRPr="00A42155">
        <w:rPr>
          <w:rFonts w:ascii="Times New Roman" w:eastAsia="Times New Roman" w:hAnsi="Times New Roman" w:cs="Times New Roman"/>
          <w:kern w:val="0"/>
          <w:sz w:val="24"/>
          <w:szCs w:val="24"/>
          <w:lang w:eastAsia="it-IT"/>
          <w14:ligatures w14:val="none"/>
        </w:rPr>
        <w:br/>
        <w:t>Il conferimento dei dati richiesti è obbligatorio ai fini della valutazione dei requisiti di partecipazione e di selezione. In caso di rifiuto a fornire i dati richiesti, la Banca d’Italia procede all’esclusione dalla selezione ovvero non dà avvio al tirocinio.</w:t>
      </w:r>
      <w:r w:rsidRPr="00A42155">
        <w:rPr>
          <w:rFonts w:ascii="Times New Roman" w:eastAsia="Times New Roman" w:hAnsi="Times New Roman" w:cs="Times New Roman"/>
          <w:kern w:val="0"/>
          <w:sz w:val="24"/>
          <w:szCs w:val="24"/>
          <w:lang w:eastAsia="it-IT"/>
          <w14:ligatures w14:val="none"/>
        </w:rPr>
        <w:br/>
        <w:t>I dati forniti possono essere comunicati ad altre amministrazioni pubbliche a fini di verifica di quanto dichiarato dai candidati o negli altri casi previsti da leggi e regolamenti. 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w:t>
      </w:r>
      <w:r w:rsidRPr="00A42155">
        <w:rPr>
          <w:rFonts w:ascii="Times New Roman" w:eastAsia="Times New Roman" w:hAnsi="Times New Roman" w:cs="Times New Roman"/>
          <w:kern w:val="0"/>
          <w:sz w:val="24"/>
          <w:szCs w:val="24"/>
          <w:lang w:eastAsia="it-IT"/>
          <w14:ligatures w14:val="none"/>
        </w:rPr>
        <w:br/>
        <w:t>Tali diritti possono essere fatti valere nei confronti del Titolare del trattamento - Banca d’Italia, Servizio Organizzazione, via Nazionale n. 91 – Roma (e-mail: org.privacy@bancaditalia.it). Il Responsabile della protezione dei dati per la Banca d'Italia può essere contattato presso via Nazionale n. 91 – Roma (e-mail: responsabile.protezione.dati@bancaditalia.it).</w:t>
      </w:r>
      <w:r w:rsidRPr="00A42155">
        <w:rPr>
          <w:rFonts w:ascii="Times New Roman" w:eastAsia="Times New Roman" w:hAnsi="Times New Roman" w:cs="Times New Roman"/>
          <w:kern w:val="0"/>
          <w:sz w:val="24"/>
          <w:szCs w:val="24"/>
          <w:lang w:eastAsia="it-IT"/>
          <w14:ligatures w14:val="none"/>
        </w:rPr>
        <w:br/>
        <w:t>Per le violazioni della vigente disciplina in materia di privacy è possibile rivolgersi, in qualità di Autorità di controllo, al Garante per la protezione dei dati personali – Piazza Venezia, n. 11 – R</w:t>
      </w:r>
    </w:p>
    <w:p w14:paraId="550EE2F7" w14:textId="77777777" w:rsidR="00A42155" w:rsidRPr="00A42155" w:rsidRDefault="00A42155" w:rsidP="00A42155">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A42155">
        <w:rPr>
          <w:rFonts w:ascii="Times New Roman" w:eastAsia="Times New Roman" w:hAnsi="Times New Roman" w:cs="Times New Roman"/>
          <w:kern w:val="0"/>
          <w:sz w:val="24"/>
          <w:szCs w:val="24"/>
          <w:lang w:eastAsia="it-IT"/>
          <w14:ligatures w14:val="none"/>
        </w:rPr>
        <w:t> </w:t>
      </w:r>
    </w:p>
    <w:p w14:paraId="3725F65F" w14:textId="77777777" w:rsidR="00A42155" w:rsidRPr="00A42155" w:rsidRDefault="00A42155" w:rsidP="00A42155">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A42155">
        <w:rPr>
          <w:rFonts w:ascii="Times New Roman" w:eastAsia="Times New Roman" w:hAnsi="Times New Roman" w:cs="Times New Roman"/>
          <w:kern w:val="0"/>
          <w:sz w:val="24"/>
          <w:szCs w:val="24"/>
          <w:lang w:eastAsia="it-IT"/>
          <w14:ligatures w14:val="none"/>
        </w:rPr>
        <w:t> </w:t>
      </w:r>
    </w:p>
    <w:p w14:paraId="41FC686F" w14:textId="77777777" w:rsidR="00F73D87" w:rsidRDefault="00F73D87"/>
    <w:sectPr w:rsidR="00F73D8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155"/>
    <w:rsid w:val="000319B3"/>
    <w:rsid w:val="009E1865"/>
    <w:rsid w:val="00A42155"/>
    <w:rsid w:val="00F73D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96552"/>
  <w15:chartTrackingRefBased/>
  <w15:docId w15:val="{38ABEDED-8C00-4622-BD1E-1B161C5E4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A42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A42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unhideWhenUsed/>
    <w:qFormat/>
    <w:rsid w:val="00A4215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A4215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A4215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A4215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A4215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A4215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A4215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4215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A4215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rsid w:val="00A4215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A4215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A4215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A4215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A4215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A4215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A42155"/>
    <w:rPr>
      <w:rFonts w:eastAsiaTheme="majorEastAsia" w:cstheme="majorBidi"/>
      <w:color w:val="272727" w:themeColor="text1" w:themeTint="D8"/>
    </w:rPr>
  </w:style>
  <w:style w:type="paragraph" w:styleId="Titolo">
    <w:name w:val="Title"/>
    <w:basedOn w:val="Normale"/>
    <w:next w:val="Normale"/>
    <w:link w:val="TitoloCarattere"/>
    <w:uiPriority w:val="10"/>
    <w:qFormat/>
    <w:rsid w:val="00A42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A4215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A4215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A4215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A4215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A42155"/>
    <w:rPr>
      <w:i/>
      <w:iCs/>
      <w:color w:val="404040" w:themeColor="text1" w:themeTint="BF"/>
    </w:rPr>
  </w:style>
  <w:style w:type="paragraph" w:styleId="Paragrafoelenco">
    <w:name w:val="List Paragraph"/>
    <w:basedOn w:val="Normale"/>
    <w:uiPriority w:val="34"/>
    <w:qFormat/>
    <w:rsid w:val="00A42155"/>
    <w:pPr>
      <w:ind w:left="720"/>
      <w:contextualSpacing/>
    </w:pPr>
  </w:style>
  <w:style w:type="character" w:styleId="Enfasiintensa">
    <w:name w:val="Intense Emphasis"/>
    <w:basedOn w:val="Carpredefinitoparagrafo"/>
    <w:uiPriority w:val="21"/>
    <w:qFormat/>
    <w:rsid w:val="00A42155"/>
    <w:rPr>
      <w:i/>
      <w:iCs/>
      <w:color w:val="0F4761" w:themeColor="accent1" w:themeShade="BF"/>
    </w:rPr>
  </w:style>
  <w:style w:type="paragraph" w:styleId="Citazioneintensa">
    <w:name w:val="Intense Quote"/>
    <w:basedOn w:val="Normale"/>
    <w:next w:val="Normale"/>
    <w:link w:val="CitazioneintensaCarattere"/>
    <w:uiPriority w:val="30"/>
    <w:qFormat/>
    <w:rsid w:val="00A42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A42155"/>
    <w:rPr>
      <w:i/>
      <w:iCs/>
      <w:color w:val="0F4761" w:themeColor="accent1" w:themeShade="BF"/>
    </w:rPr>
  </w:style>
  <w:style w:type="character" w:styleId="Riferimentointenso">
    <w:name w:val="Intense Reference"/>
    <w:basedOn w:val="Carpredefinitoparagrafo"/>
    <w:uiPriority w:val="32"/>
    <w:qFormat/>
    <w:rsid w:val="00A42155"/>
    <w:rPr>
      <w:b/>
      <w:bCs/>
      <w:smallCaps/>
      <w:color w:val="0F4761" w:themeColor="accent1" w:themeShade="BF"/>
      <w:spacing w:val="5"/>
    </w:rPr>
  </w:style>
  <w:style w:type="paragraph" w:styleId="NormaleWeb">
    <w:name w:val="Normal (Web)"/>
    <w:basedOn w:val="Normale"/>
    <w:uiPriority w:val="99"/>
    <w:semiHidden/>
    <w:unhideWhenUsed/>
    <w:rsid w:val="00A42155"/>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Enfasigrassetto">
    <w:name w:val="Strong"/>
    <w:basedOn w:val="Carpredefinitoparagrafo"/>
    <w:uiPriority w:val="22"/>
    <w:qFormat/>
    <w:rsid w:val="00A421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24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9" ma:contentTypeDescription="Creare un nuovo documento." ma:contentTypeScope="" ma:versionID="59d864bd6c630e7594a30b33d3c498e4">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69554b70cb6f3900203b1e1d819f73f1"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tato consenso" ma:internalName="Stato_x0020_consenso">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9c87b53-9a22-4373-9f32-7c95a125b343" xsi:nil="true"/>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9C2478-3700-4723-91D4-99310749DCB8}"/>
</file>

<file path=customXml/itemProps2.xml><?xml version="1.0" encoding="utf-8"?>
<ds:datastoreItem xmlns:ds="http://schemas.openxmlformats.org/officeDocument/2006/customXml" ds:itemID="{06DD5CF7-4847-4AFE-A510-2DD3F54EB4BC}"/>
</file>

<file path=customXml/itemProps3.xml><?xml version="1.0" encoding="utf-8"?>
<ds:datastoreItem xmlns:ds="http://schemas.openxmlformats.org/officeDocument/2006/customXml" ds:itemID="{69F70BA2-692C-4205-95E7-E7A6B9DADCB2}"/>
</file>

<file path=docProps/app.xml><?xml version="1.0" encoding="utf-8"?>
<Properties xmlns="http://schemas.openxmlformats.org/officeDocument/2006/extended-properties" xmlns:vt="http://schemas.openxmlformats.org/officeDocument/2006/docPropsVTypes">
  <Template>Normal</Template>
  <TotalTime>1</TotalTime>
  <Pages>3</Pages>
  <Words>1280</Words>
  <Characters>7299</Characters>
  <Application>Microsoft Office Word</Application>
  <DocSecurity>0</DocSecurity>
  <Lines>60</Lines>
  <Paragraphs>17</Paragraphs>
  <ScaleCrop>false</ScaleCrop>
  <Company>Universit? degli Studi Roma 3</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2024-07-12T20:27:00Z</dcterms:created>
  <dcterms:modified xsi:type="dcterms:W3CDTF">2024-07-12T20:28:00Z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