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bottom w:val="single" w:sz="6" w:space="0" w:color="auto"/>
        </w:tblBorders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367"/>
        <w:gridCol w:w="7429"/>
      </w:tblGrid>
      <w:tr w:rsidR="006E0EA3" w:rsidRPr="006A2F45" w:rsidTr="00F93093">
        <w:tblPrEx>
          <w:tblCellMar>
            <w:top w:w="0" w:type="dxa"/>
            <w:bottom w:w="0" w:type="dxa"/>
          </w:tblCellMar>
        </w:tblPrEx>
        <w:trPr>
          <w:cantSplit/>
          <w:trHeight w:hRule="exact" w:val="1123"/>
        </w:trPr>
        <w:tc>
          <w:tcPr>
            <w:tcW w:w="1208" w:type="pct"/>
          </w:tcPr>
          <w:p w:rsidR="006E0EA3" w:rsidRPr="006A2F45" w:rsidRDefault="006E0EA3" w:rsidP="00F93093">
            <w:pPr>
              <w:pStyle w:val="Intestazione"/>
              <w:tabs>
                <w:tab w:val="clear" w:pos="4819"/>
                <w:tab w:val="clear" w:pos="9638"/>
              </w:tabs>
              <w:spacing w:line="360" w:lineRule="auto"/>
              <w:ind w:right="409"/>
              <w:jc w:val="both"/>
              <w:rPr>
                <w:szCs w:val="24"/>
              </w:rPr>
            </w:pPr>
            <w:r>
              <w:rPr>
                <w:b/>
                <w:noProof/>
                <w:szCs w:val="24"/>
              </w:rPr>
              <w:drawing>
                <wp:inline distT="0" distB="0" distL="0" distR="0">
                  <wp:extent cx="1117600" cy="679450"/>
                  <wp:effectExtent l="0" t="0" r="6350" b="6350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67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2" w:type="pct"/>
          </w:tcPr>
          <w:p w:rsidR="006E0EA3" w:rsidRPr="006A2F45" w:rsidRDefault="006E0EA3" w:rsidP="00F93093">
            <w:pPr>
              <w:pStyle w:val="Intestazione"/>
              <w:tabs>
                <w:tab w:val="clear" w:pos="4819"/>
                <w:tab w:val="clear" w:pos="9638"/>
              </w:tabs>
              <w:spacing w:line="360" w:lineRule="auto"/>
              <w:jc w:val="right"/>
              <w:rPr>
                <w:i/>
                <w:szCs w:val="24"/>
              </w:rPr>
            </w:pPr>
          </w:p>
          <w:p w:rsidR="006E0EA3" w:rsidRPr="006A2F45" w:rsidRDefault="006E0EA3" w:rsidP="00F93093">
            <w:pPr>
              <w:pStyle w:val="Intestazione"/>
              <w:tabs>
                <w:tab w:val="clear" w:pos="4819"/>
                <w:tab w:val="clear" w:pos="9638"/>
              </w:tabs>
              <w:spacing w:line="360" w:lineRule="auto"/>
              <w:jc w:val="right"/>
              <w:rPr>
                <w:i/>
                <w:szCs w:val="24"/>
              </w:rPr>
            </w:pPr>
          </w:p>
          <w:p w:rsidR="006E0EA3" w:rsidRPr="006A2F45" w:rsidRDefault="006E0EA3" w:rsidP="00F93093">
            <w:pPr>
              <w:pStyle w:val="Intestazione"/>
              <w:tabs>
                <w:tab w:val="clear" w:pos="4819"/>
                <w:tab w:val="clear" w:pos="9638"/>
              </w:tabs>
              <w:spacing w:line="360" w:lineRule="auto"/>
              <w:jc w:val="right"/>
              <w:rPr>
                <w:b/>
                <w:szCs w:val="24"/>
              </w:rPr>
            </w:pPr>
            <w:r w:rsidRPr="006A2F45">
              <w:rPr>
                <w:b/>
                <w:szCs w:val="24"/>
              </w:rPr>
              <w:t>Nucleo di Valutazione</w:t>
            </w:r>
          </w:p>
          <w:p w:rsidR="006E0EA3" w:rsidRPr="006A2F45" w:rsidRDefault="006E0EA3" w:rsidP="00F93093">
            <w:pPr>
              <w:pStyle w:val="Intestazione"/>
              <w:tabs>
                <w:tab w:val="clear" w:pos="4819"/>
                <w:tab w:val="clear" w:pos="9638"/>
              </w:tabs>
              <w:spacing w:line="360" w:lineRule="auto"/>
              <w:jc w:val="right"/>
              <w:rPr>
                <w:i/>
                <w:szCs w:val="24"/>
              </w:rPr>
            </w:pPr>
          </w:p>
        </w:tc>
      </w:tr>
    </w:tbl>
    <w:p w:rsidR="006E0EA3" w:rsidRPr="00E80DDC" w:rsidRDefault="006E0EA3" w:rsidP="003B5F7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6E0EA3" w:rsidRPr="00E80DDC" w:rsidRDefault="006E0EA3" w:rsidP="003B5F7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3B5F75" w:rsidRPr="00E80DDC" w:rsidRDefault="003B5F75" w:rsidP="003B5F7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80DDC">
        <w:rPr>
          <w:rFonts w:ascii="Arial" w:hAnsi="Arial" w:cs="Arial"/>
          <w:b/>
          <w:sz w:val="28"/>
          <w:szCs w:val="28"/>
        </w:rPr>
        <w:t>Relazione annuale dei Nuclei di Valutazione interna</w:t>
      </w:r>
    </w:p>
    <w:p w:rsidR="003B5F75" w:rsidRPr="00E80DDC" w:rsidRDefault="003B5F75" w:rsidP="003B5F7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80DDC">
        <w:rPr>
          <w:rFonts w:ascii="Arial" w:hAnsi="Arial" w:cs="Arial"/>
          <w:b/>
          <w:sz w:val="28"/>
          <w:szCs w:val="28"/>
        </w:rPr>
        <w:t xml:space="preserve">(D. </w:t>
      </w:r>
      <w:proofErr w:type="spellStart"/>
      <w:r w:rsidRPr="00E80DDC">
        <w:rPr>
          <w:rFonts w:ascii="Arial" w:hAnsi="Arial" w:cs="Arial"/>
          <w:b/>
          <w:sz w:val="28"/>
          <w:szCs w:val="28"/>
        </w:rPr>
        <w:t>Lgs</w:t>
      </w:r>
      <w:proofErr w:type="spellEnd"/>
      <w:r w:rsidRPr="00E80DDC">
        <w:rPr>
          <w:rFonts w:ascii="Arial" w:hAnsi="Arial" w:cs="Arial"/>
          <w:b/>
          <w:sz w:val="28"/>
          <w:szCs w:val="28"/>
        </w:rPr>
        <w:t>. 19/2012, art</w:t>
      </w:r>
      <w:r w:rsidR="00E1171E" w:rsidRPr="00E80DDC">
        <w:rPr>
          <w:rFonts w:ascii="Arial" w:hAnsi="Arial" w:cs="Arial"/>
          <w:b/>
          <w:sz w:val="28"/>
          <w:szCs w:val="28"/>
        </w:rPr>
        <w:t>.</w:t>
      </w:r>
      <w:r w:rsidRPr="00E80DDC">
        <w:rPr>
          <w:rFonts w:ascii="Arial" w:hAnsi="Arial" w:cs="Arial"/>
          <w:b/>
          <w:sz w:val="28"/>
          <w:szCs w:val="28"/>
        </w:rPr>
        <w:t xml:space="preserve"> 12 e art.14)</w:t>
      </w:r>
    </w:p>
    <w:p w:rsidR="00863AAB" w:rsidRPr="00E80DDC" w:rsidRDefault="003B5F75" w:rsidP="003B5F75">
      <w:pPr>
        <w:jc w:val="center"/>
        <w:rPr>
          <w:rFonts w:ascii="Arial" w:hAnsi="Arial" w:cs="Arial"/>
          <w:b/>
          <w:sz w:val="28"/>
          <w:szCs w:val="28"/>
        </w:rPr>
      </w:pPr>
      <w:r w:rsidRPr="00E80DDC">
        <w:rPr>
          <w:rFonts w:ascii="Arial" w:hAnsi="Arial" w:cs="Arial"/>
          <w:b/>
          <w:sz w:val="28"/>
          <w:szCs w:val="28"/>
        </w:rPr>
        <w:t>Università degli Studi ROMA TRE</w:t>
      </w:r>
    </w:p>
    <w:p w:rsidR="003B5F75" w:rsidRPr="00E80DDC" w:rsidRDefault="003B5F75" w:rsidP="00CA689A">
      <w:pPr>
        <w:jc w:val="both"/>
        <w:rPr>
          <w:rFonts w:ascii="Arial" w:hAnsi="Arial" w:cs="Arial"/>
          <w:b/>
          <w:sz w:val="28"/>
          <w:szCs w:val="28"/>
        </w:rPr>
      </w:pPr>
    </w:p>
    <w:p w:rsidR="006E0EA3" w:rsidRPr="00E80DDC" w:rsidRDefault="00E80DDC" w:rsidP="00CA689A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/>
          <w:bCs/>
          <w:sz w:val="24"/>
          <w:szCs w:val="24"/>
        </w:rPr>
      </w:pPr>
      <w:r w:rsidRPr="00E80DDC">
        <w:rPr>
          <w:rFonts w:ascii="Arial-BoldMT" w:hAnsi="Arial-BoldMT" w:cs="Arial-BoldMT"/>
          <w:b/>
          <w:bCs/>
          <w:sz w:val="24"/>
          <w:szCs w:val="24"/>
        </w:rPr>
        <w:t xml:space="preserve">1. </w:t>
      </w:r>
      <w:r w:rsidR="006E0EA3" w:rsidRPr="00E80DDC">
        <w:rPr>
          <w:rFonts w:ascii="Arial-BoldMT" w:hAnsi="Arial-BoldMT" w:cs="Arial-BoldMT"/>
          <w:b/>
          <w:bCs/>
          <w:sz w:val="24"/>
          <w:szCs w:val="24"/>
        </w:rPr>
        <w:t>Descrizione e valutazione dell'organizzazione per l'AQ della formazione dell'Ateneo</w:t>
      </w:r>
    </w:p>
    <w:p w:rsidR="006E0EA3" w:rsidRPr="00E80DDC" w:rsidRDefault="006E0EA3" w:rsidP="00CA689A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sz w:val="21"/>
          <w:szCs w:val="21"/>
        </w:rPr>
      </w:pPr>
      <w:r w:rsidRPr="00E80DDC">
        <w:rPr>
          <w:rFonts w:ascii="Arial-BoldMT" w:hAnsi="Arial-BoldMT" w:cs="Arial-BoldMT"/>
          <w:bCs/>
          <w:sz w:val="21"/>
          <w:szCs w:val="21"/>
        </w:rPr>
        <w:t>a) Presidio della Qualità</w:t>
      </w:r>
    </w:p>
    <w:p w:rsidR="006E0EA3" w:rsidRPr="00E80DDC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1.a.1 Composizione e attività del Presidio della Qualità (arti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colazioni periferiche comprese)</w:t>
      </w:r>
    </w:p>
    <w:p w:rsidR="006E0EA3" w:rsidRPr="00E80DDC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1.a.2 Modalità organizzative e comunicative in relazi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one alle funzioni istituzionali</w:t>
      </w:r>
    </w:p>
    <w:p w:rsidR="006E0EA3" w:rsidRPr="00E80DDC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1.a.3 Sistema di AQ / Linee guida per la definizione del sistema di AQ di Ateneo</w:t>
      </w:r>
    </w:p>
    <w:p w:rsidR="006E0EA3" w:rsidRPr="00E80DDC" w:rsidRDefault="006E0EA3" w:rsidP="00CA689A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1.a.4 Punti di forza e di debolezza relativamente a composizione e attività, modalità organizzative e comunic</w:t>
      </w:r>
      <w:r w:rsidR="00CA689A" w:rsidRPr="00E80DDC">
        <w:rPr>
          <w:rFonts w:ascii="Arial-BoldMT" w:hAnsi="Arial-BoldMT" w:cs="Arial-BoldMT"/>
          <w:bCs/>
          <w:i/>
          <w:sz w:val="18"/>
          <w:szCs w:val="18"/>
        </w:rPr>
        <w:t xml:space="preserve">ative, sistema di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AQ / linee guida per la definizione del sistema di AQ</w:t>
      </w:r>
    </w:p>
    <w:p w:rsidR="006E0EA3" w:rsidRPr="00E80DDC" w:rsidRDefault="006E0EA3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1.a.5 Opportunità e rischi in relazione al più ampio contesto organizzativo (relazioni con: organi di governo dell'Ateneo e altri</w:t>
      </w:r>
      <w:r w:rsidR="00E80DDC"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attori del sistema di AQ di Ateneo; ANVUR; ecc.) relativamente all'AQ</w:t>
      </w:r>
    </w:p>
    <w:p w:rsidR="00CA689A" w:rsidRPr="00E80DDC" w:rsidRDefault="00CA689A" w:rsidP="00CA689A">
      <w:pPr>
        <w:spacing w:after="0"/>
        <w:jc w:val="both"/>
        <w:rPr>
          <w:rFonts w:ascii="Arial-BoldMT" w:hAnsi="Arial-BoldMT" w:cs="Arial-BoldMT"/>
          <w:bCs/>
          <w:sz w:val="18"/>
          <w:szCs w:val="18"/>
        </w:rPr>
      </w:pPr>
    </w:p>
    <w:p w:rsidR="006E0EA3" w:rsidRPr="00E80DDC" w:rsidRDefault="006E0EA3" w:rsidP="00CA689A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sz w:val="21"/>
          <w:szCs w:val="21"/>
        </w:rPr>
      </w:pPr>
      <w:r w:rsidRPr="00E80DDC">
        <w:rPr>
          <w:rFonts w:ascii="Arial-BoldMT" w:hAnsi="Arial-BoldMT" w:cs="Arial-BoldMT"/>
          <w:bCs/>
          <w:sz w:val="21"/>
          <w:szCs w:val="21"/>
        </w:rPr>
        <w:t>b) Commissioni Paritetiche Docenti-Studenti</w:t>
      </w:r>
    </w:p>
    <w:p w:rsidR="006E0EA3" w:rsidRPr="00E80DDC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1.b.1 Composizione e attività delle CP</w:t>
      </w:r>
    </w:p>
    <w:p w:rsidR="006E0EA3" w:rsidRPr="00E80DDC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1.b.2 Modalità organizzative e comunicative in relazione alla funzioni istituzionali</w:t>
      </w:r>
    </w:p>
    <w:p w:rsidR="006E0EA3" w:rsidRPr="00E80DDC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1.b.3 Punti di forza e di debolezza relativamente a composizione e attività e modalità organizzative e comunicative</w:t>
      </w:r>
    </w:p>
    <w:p w:rsidR="006E0EA3" w:rsidRPr="00E80DDC" w:rsidRDefault="006E0EA3" w:rsidP="00CA689A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1.b.4 Opportunità e rischi in relazione al più ampio contesto organizzativo (relazioni con:</w:t>
      </w:r>
      <w:r w:rsidR="00E80DDC" w:rsidRPr="00E80DDC">
        <w:rPr>
          <w:rFonts w:ascii="Arial-BoldMT" w:hAnsi="Arial-BoldMT" w:cs="Arial-BoldMT"/>
          <w:bCs/>
          <w:i/>
          <w:sz w:val="18"/>
          <w:szCs w:val="18"/>
        </w:rPr>
        <w:t xml:space="preserve"> organi di governo dell'Ateneo,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altri</w:t>
      </w:r>
      <w:r w:rsidR="00CA689A"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attori del sistema di AQ di Ateneo; raccolta delle fonti informative; </w:t>
      </w:r>
      <w:proofErr w:type="spellStart"/>
      <w:r w:rsidRPr="00E80DDC">
        <w:rPr>
          <w:rFonts w:ascii="Arial-BoldMT" w:hAnsi="Arial-BoldMT" w:cs="Arial-BoldMT"/>
          <w:bCs/>
          <w:i/>
          <w:sz w:val="18"/>
          <w:szCs w:val="18"/>
        </w:rPr>
        <w:t>ecc</w:t>
      </w:r>
      <w:proofErr w:type="spellEnd"/>
      <w:r w:rsidRPr="00E80DDC">
        <w:rPr>
          <w:rFonts w:ascii="Arial-BoldMT" w:hAnsi="Arial-BoldMT" w:cs="Arial-BoldMT"/>
          <w:bCs/>
          <w:i/>
          <w:sz w:val="18"/>
          <w:szCs w:val="18"/>
        </w:rPr>
        <w:t>) relativamente all'AQ</w:t>
      </w:r>
    </w:p>
    <w:p w:rsidR="00CA689A" w:rsidRPr="00E80DDC" w:rsidRDefault="00CA689A" w:rsidP="00CA689A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sz w:val="18"/>
          <w:szCs w:val="18"/>
        </w:rPr>
      </w:pPr>
    </w:p>
    <w:p w:rsidR="006E0EA3" w:rsidRPr="00E80DDC" w:rsidRDefault="006E0EA3" w:rsidP="00CA689A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sz w:val="21"/>
          <w:szCs w:val="21"/>
        </w:rPr>
      </w:pPr>
      <w:r w:rsidRPr="00E80DDC">
        <w:rPr>
          <w:rFonts w:ascii="Arial-BoldMT" w:hAnsi="Arial-BoldMT" w:cs="Arial-BoldMT"/>
          <w:bCs/>
          <w:sz w:val="21"/>
          <w:szCs w:val="21"/>
        </w:rPr>
        <w:t>c) Nucleo di Valutazione</w:t>
      </w:r>
    </w:p>
    <w:p w:rsidR="006E0EA3" w:rsidRPr="00E80DDC" w:rsidRDefault="006E0EA3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1.c.1 Composizione (scheda descrizione </w:t>
      </w:r>
      <w:proofErr w:type="spellStart"/>
      <w:r w:rsidRPr="00E80DDC">
        <w:rPr>
          <w:rFonts w:ascii="Arial-BoldMT" w:hAnsi="Arial-BoldMT" w:cs="Arial-BoldMT"/>
          <w:bCs/>
          <w:i/>
          <w:sz w:val="18"/>
          <w:szCs w:val="18"/>
        </w:rPr>
        <w:t>NdV</w:t>
      </w:r>
      <w:proofErr w:type="spellEnd"/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 dell'Ateneo come da precedente Rilevazione Nuclei riportata in Appendice) e</w:t>
      </w:r>
      <w:r w:rsidR="00E80DDC"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attività del </w:t>
      </w:r>
      <w:proofErr w:type="spellStart"/>
      <w:r w:rsidRPr="00E80DDC">
        <w:rPr>
          <w:rFonts w:ascii="Arial-BoldMT" w:hAnsi="Arial-BoldMT" w:cs="Arial-BoldMT"/>
          <w:bCs/>
          <w:i/>
          <w:sz w:val="18"/>
          <w:szCs w:val="18"/>
        </w:rPr>
        <w:t>NdV</w:t>
      </w:r>
      <w:proofErr w:type="spellEnd"/>
    </w:p>
    <w:p w:rsidR="006E0EA3" w:rsidRPr="00E80DDC" w:rsidRDefault="006E0EA3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1.c.2 Composizione (scheda descrizione Ufficio di supporto al </w:t>
      </w:r>
      <w:proofErr w:type="spellStart"/>
      <w:r w:rsidRPr="00E80DDC">
        <w:rPr>
          <w:rFonts w:ascii="Arial-BoldMT" w:hAnsi="Arial-BoldMT" w:cs="Arial-BoldMT"/>
          <w:bCs/>
          <w:i/>
          <w:sz w:val="18"/>
          <w:szCs w:val="18"/>
        </w:rPr>
        <w:t>NdV</w:t>
      </w:r>
      <w:proofErr w:type="spellEnd"/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 dell'Ateneo come da precedente Rilevazione Nuclei</w:t>
      </w:r>
      <w:r w:rsidR="00E80DDC"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riportata in Appendice) e attività dell'Ufficio di supporto al </w:t>
      </w:r>
      <w:proofErr w:type="spellStart"/>
      <w:r w:rsidRPr="00E80DDC">
        <w:rPr>
          <w:rFonts w:ascii="Arial-BoldMT" w:hAnsi="Arial-BoldMT" w:cs="Arial-BoldMT"/>
          <w:bCs/>
          <w:i/>
          <w:sz w:val="18"/>
          <w:szCs w:val="18"/>
        </w:rPr>
        <w:t>NdV</w:t>
      </w:r>
      <w:proofErr w:type="spellEnd"/>
    </w:p>
    <w:p w:rsidR="006E0EA3" w:rsidRPr="00E80DDC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1.c.3 Modalità organizzative e comunicative in relazione alla funzioni istituzionali</w:t>
      </w:r>
    </w:p>
    <w:p w:rsidR="006E0EA3" w:rsidRPr="00E80DDC" w:rsidRDefault="006E0EA3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1.c.4 Punti di forza e di debolezza relativamente a composizione e attività del </w:t>
      </w:r>
      <w:proofErr w:type="spellStart"/>
      <w:r w:rsidRPr="00E80DDC">
        <w:rPr>
          <w:rFonts w:ascii="Arial-BoldMT" w:hAnsi="Arial-BoldMT" w:cs="Arial-BoldMT"/>
          <w:bCs/>
          <w:i/>
          <w:sz w:val="18"/>
          <w:szCs w:val="18"/>
        </w:rPr>
        <w:t>NdV</w:t>
      </w:r>
      <w:proofErr w:type="spellEnd"/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 e dell'Ufficio di supporto e modalità</w:t>
      </w:r>
      <w:r w:rsidR="00E80DDC"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organizzative e comunicative</w:t>
      </w:r>
    </w:p>
    <w:p w:rsidR="006E0EA3" w:rsidRPr="00E80DDC" w:rsidRDefault="006E0EA3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1.c.5 Opportunità e rischi in relazione al più ampio contesto organizzativo (relazioni con: organi di governo dell'Ateneo e altri</w:t>
      </w:r>
      <w:r w:rsidR="00E80DDC"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attori del sistema di AQ di Ateneo; ANVUR; ecc.) relativamente all'AQ</w:t>
      </w:r>
    </w:p>
    <w:p w:rsidR="00E80DDC" w:rsidRDefault="00E80DDC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sz w:val="18"/>
          <w:szCs w:val="18"/>
        </w:rPr>
      </w:pPr>
    </w:p>
    <w:p w:rsidR="00E80DDC" w:rsidRPr="00E80DDC" w:rsidRDefault="00E80DDC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sz w:val="18"/>
          <w:szCs w:val="18"/>
        </w:rPr>
      </w:pPr>
    </w:p>
    <w:p w:rsidR="006E0EA3" w:rsidRPr="00E80DDC" w:rsidRDefault="006E0EA3" w:rsidP="00CA689A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/>
          <w:bCs/>
          <w:sz w:val="24"/>
          <w:szCs w:val="24"/>
        </w:rPr>
      </w:pPr>
      <w:r w:rsidRPr="00E80DDC">
        <w:rPr>
          <w:rFonts w:ascii="Arial-BoldMT" w:hAnsi="Arial-BoldMT" w:cs="Arial-BoldMT"/>
          <w:b/>
          <w:bCs/>
          <w:sz w:val="24"/>
          <w:szCs w:val="24"/>
        </w:rPr>
        <w:t>2. Descrizione e valutazione dell'organizzazione per la formazione dell'Ateneo</w:t>
      </w:r>
    </w:p>
    <w:p w:rsidR="006E0EA3" w:rsidRPr="00E80DDC" w:rsidRDefault="006E0EA3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2.1 Organizzazione dell'offerta formativa dell'Ateneo, numero di Corsi di Studio e numero di insegnamenti, sostenibilità</w:t>
      </w:r>
      <w:r w:rsidR="00E80DDC"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dell'attività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 formativa</w:t>
      </w:r>
    </w:p>
    <w:p w:rsidR="006E0EA3" w:rsidRPr="00E80DDC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2.2 Organizzazione per la gestione dell'offerta formativa (Ripartizioni, Dipa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rtimenti/Strutture di raccordo)</w:t>
      </w:r>
    </w:p>
    <w:p w:rsidR="006E0EA3" w:rsidRPr="00E80DDC" w:rsidRDefault="006E0EA3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2.3 Organizzazione dei servizi di supporto allo studio generali o comuni a più Corsi di Studio (orientamento e assistenza in</w:t>
      </w:r>
      <w:r w:rsidR="00E80DDC"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ingresso, orientamento e assistenza in itinere, assistenza per lo svolgimento di periodi di formazione all'esterno e per la</w:t>
      </w:r>
      <w:r w:rsidR="00E80DDC"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mobilità internazionale, orien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tamento e assistenza in uscita)</w:t>
      </w:r>
    </w:p>
    <w:p w:rsidR="006E0EA3" w:rsidRPr="00E80DDC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2.4 Dotazione infrastrutturale e tecnologica dell'Ateneo in termini di aule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, laboratori, biblioteche, ecc.</w:t>
      </w:r>
    </w:p>
    <w:p w:rsidR="006E0EA3" w:rsidRPr="00E80DDC" w:rsidRDefault="006E0EA3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2.5 Punti di forza e di debolezza relativamente a organizzazione dell'offerta formativa, organizzazione per la gestione</w:t>
      </w:r>
      <w:r w:rsidR="00E80DDC"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dell'offerta formativa, organizzazione dei servizi di supporto, adeguatezza della dotazione infrastrutturale e tecnologica</w:t>
      </w:r>
    </w:p>
    <w:p w:rsidR="006E0EA3" w:rsidRPr="00E80DDC" w:rsidRDefault="006E0EA3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lastRenderedPageBreak/>
        <w:t>2.6 Opportunità e rischi in relazione al più ampio spazio sociale (relazioni con il territorio e altri attori istituzionali, attrattività,</w:t>
      </w:r>
      <w:r w:rsidR="00E80DDC"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posizionamento, ecc.)</w:t>
      </w:r>
    </w:p>
    <w:p w:rsidR="00E80DDC" w:rsidRPr="00E80DDC" w:rsidRDefault="00E80DDC" w:rsidP="00E80DDC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sz w:val="18"/>
          <w:szCs w:val="18"/>
        </w:rPr>
      </w:pPr>
    </w:p>
    <w:p w:rsidR="006E0EA3" w:rsidRPr="00E80DDC" w:rsidRDefault="006E0EA3" w:rsidP="00CA689A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/>
          <w:bCs/>
          <w:sz w:val="24"/>
          <w:szCs w:val="24"/>
        </w:rPr>
      </w:pPr>
      <w:r w:rsidRPr="00E80DDC">
        <w:rPr>
          <w:rFonts w:ascii="Arial-BoldMT" w:hAnsi="Arial-BoldMT" w:cs="Arial-BoldMT"/>
          <w:b/>
          <w:bCs/>
          <w:sz w:val="24"/>
          <w:szCs w:val="24"/>
        </w:rPr>
        <w:t>3. Descrizione e valutazione dell'organizzazione dei Corsi di Studio</w:t>
      </w:r>
    </w:p>
    <w:p w:rsidR="006E0EA3" w:rsidRPr="00877B6F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"Architettura"</w:t>
      </w:r>
    </w:p>
    <w:p w:rsidR="006E0EA3" w:rsidRPr="00877B6F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"Arti e spettacolo"</w:t>
      </w:r>
    </w:p>
    <w:p w:rsidR="006E0EA3" w:rsidRPr="00877B6F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"Comunicazione e informazione"</w:t>
      </w:r>
    </w:p>
    <w:p w:rsidR="006E0EA3" w:rsidRPr="00877B6F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"Filosofia"</w:t>
      </w:r>
    </w:p>
    <w:p w:rsidR="006E0EA3" w:rsidRPr="00877B6F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"Giurisprudenza"</w:t>
      </w:r>
    </w:p>
    <w:p w:rsidR="006E0EA3" w:rsidRPr="00877B6F" w:rsidRDefault="006E0EA3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"Ingegneria"</w:t>
      </w:r>
    </w:p>
    <w:p w:rsidR="006E0EA3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"Lauree Magistrali di Scienze aziendali"</w:t>
      </w:r>
    </w:p>
    <w:p w:rsidR="00CA689A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"Lauree Magistrali di Scienze economiche"</w:t>
      </w:r>
    </w:p>
    <w:p w:rsidR="00CA689A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"Lauree triennali di Economia e di Gestione aziendale"</w:t>
      </w:r>
    </w:p>
    <w:p w:rsidR="00CA689A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"Lingue, letterature straniere"</w:t>
      </w:r>
    </w:p>
    <w:p w:rsidR="00CA689A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"Matematica e Fisica"</w:t>
      </w:r>
    </w:p>
    <w:p w:rsidR="00CA689A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"Scienze"</w:t>
      </w:r>
    </w:p>
    <w:p w:rsidR="00CA689A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"Scienze Politiche"</w:t>
      </w:r>
    </w:p>
    <w:p w:rsidR="00CA689A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"Scienze della Formazione"</w:t>
      </w:r>
    </w:p>
    <w:p w:rsidR="00CA689A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"Studi Umanistici: Studi letterari"</w:t>
      </w:r>
    </w:p>
    <w:p w:rsidR="00CA689A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"Studi Umanistici: Studi storici"</w:t>
      </w:r>
    </w:p>
    <w:p w:rsidR="00CA689A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"Studi Umanistici: Studi storico-artistici e archeologici"</w:t>
      </w:r>
    </w:p>
    <w:p w:rsidR="00CA689A" w:rsidRPr="00877B6F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21"/>
          <w:szCs w:val="21"/>
        </w:rPr>
      </w:pPr>
      <w:r w:rsidRPr="00877B6F">
        <w:rPr>
          <w:rFonts w:ascii="Arial-BoldMT" w:hAnsi="Arial-BoldMT" w:cs="Arial-BoldMT"/>
          <w:bCs/>
          <w:i/>
          <w:sz w:val="21"/>
          <w:szCs w:val="21"/>
        </w:rPr>
        <w:t>Gruppo omogeneo di CdS: "Studi Umanistici: Studi sull'antichità e sulle religioni"</w:t>
      </w:r>
    </w:p>
    <w:p w:rsidR="00E80DDC" w:rsidRPr="00E80DDC" w:rsidRDefault="00E80DDC" w:rsidP="00CA689A">
      <w:pPr>
        <w:spacing w:after="0"/>
        <w:jc w:val="both"/>
        <w:rPr>
          <w:rFonts w:ascii="Arial-BoldMT" w:hAnsi="Arial-BoldMT" w:cs="Arial-BoldMT"/>
          <w:bCs/>
          <w:sz w:val="21"/>
          <w:szCs w:val="21"/>
        </w:rPr>
      </w:pPr>
    </w:p>
    <w:p w:rsidR="00E80DDC" w:rsidRPr="00E80DDC" w:rsidRDefault="00E80DDC" w:rsidP="00CA689A">
      <w:pPr>
        <w:spacing w:after="0"/>
        <w:jc w:val="both"/>
        <w:rPr>
          <w:rFonts w:ascii="Arial-BoldMT" w:hAnsi="Arial-BoldMT" w:cs="Arial-BoldMT"/>
          <w:bCs/>
          <w:sz w:val="18"/>
          <w:szCs w:val="18"/>
        </w:rPr>
      </w:pPr>
    </w:p>
    <w:p w:rsidR="00CA689A" w:rsidRPr="00E80DDC" w:rsidRDefault="00CA689A" w:rsidP="00CA689A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/>
          <w:bCs/>
          <w:sz w:val="24"/>
          <w:szCs w:val="24"/>
        </w:rPr>
      </w:pPr>
      <w:r w:rsidRPr="00E80DDC">
        <w:rPr>
          <w:rFonts w:ascii="Arial-BoldMT" w:hAnsi="Arial-BoldMT" w:cs="Arial-BoldMT"/>
          <w:b/>
          <w:bCs/>
          <w:sz w:val="24"/>
          <w:szCs w:val="24"/>
        </w:rPr>
        <w:t>4. Descrizione e valutazione delle modalità e dei risultati della rilevazione dell'opinione degli</w:t>
      </w:r>
      <w:r w:rsidR="00E80DDC" w:rsidRPr="00E80DDC">
        <w:rPr>
          <w:rFonts w:ascii="Arial-BoldMT" w:hAnsi="Arial-BoldMT" w:cs="Arial-BoldMT"/>
          <w:b/>
          <w:bCs/>
          <w:sz w:val="24"/>
          <w:szCs w:val="24"/>
        </w:rPr>
        <w:t xml:space="preserve"> </w:t>
      </w:r>
      <w:r w:rsidRPr="00E80DDC">
        <w:rPr>
          <w:rFonts w:ascii="Arial-BoldMT" w:hAnsi="Arial-BoldMT" w:cs="Arial-BoldMT"/>
          <w:b/>
          <w:bCs/>
          <w:sz w:val="24"/>
          <w:szCs w:val="24"/>
        </w:rPr>
        <w:t>studenti frequentanti e (se effettuata) dei laureandi</w:t>
      </w:r>
    </w:p>
    <w:p w:rsidR="00CA689A" w:rsidRPr="00E80DDC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4.1 Obiettivi dell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a rilevazione/delle rilevazioni</w:t>
      </w:r>
    </w:p>
    <w:p w:rsidR="00CA689A" w:rsidRPr="00E80DDC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4.2 Modalità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 di rilevazione</w:t>
      </w:r>
    </w:p>
    <w:p w:rsidR="00CA689A" w:rsidRPr="00E80DDC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4.3 Risultati della rilevazione/delle rilevazioni</w:t>
      </w:r>
    </w:p>
    <w:p w:rsidR="00CA689A" w:rsidRPr="00E80DDC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4.4 Utilizzazione dei risultati</w:t>
      </w:r>
    </w:p>
    <w:p w:rsidR="00CA689A" w:rsidRPr="00E80DDC" w:rsidRDefault="00CA689A" w:rsidP="00CA689A">
      <w:pPr>
        <w:autoSpaceDE w:val="0"/>
        <w:autoSpaceDN w:val="0"/>
        <w:adjustRightInd w:val="0"/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4.5 Punti di forza e di debolezza relativamente a modalità di rilevazione, risultati della rilevazione/delle rilevazioni e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 xml:space="preserve"> </w:t>
      </w:r>
      <w:r w:rsidRPr="00E80DDC">
        <w:rPr>
          <w:rFonts w:ascii="Arial-BoldMT" w:hAnsi="Arial-BoldMT" w:cs="Arial-BoldMT"/>
          <w:bCs/>
          <w:i/>
          <w:sz w:val="18"/>
          <w:szCs w:val="18"/>
        </w:rPr>
        <w:t>utilizzazione dei risultati</w:t>
      </w:r>
    </w:p>
    <w:p w:rsidR="006E0EA3" w:rsidRPr="00E80DDC" w:rsidRDefault="00CA689A" w:rsidP="00CA689A">
      <w:pPr>
        <w:spacing w:after="0"/>
        <w:jc w:val="both"/>
        <w:rPr>
          <w:rFonts w:ascii="Arial-BoldMT" w:hAnsi="Arial-BoldMT" w:cs="Arial-BoldMT"/>
          <w:bCs/>
          <w:i/>
          <w:sz w:val="18"/>
          <w:szCs w:val="18"/>
        </w:rPr>
      </w:pPr>
      <w:r w:rsidRPr="00E80DDC">
        <w:rPr>
          <w:rFonts w:ascii="Arial-BoldMT" w:hAnsi="Arial-BoldMT" w:cs="Arial-BoldMT"/>
          <w:bCs/>
          <w:i/>
          <w:sz w:val="18"/>
          <w:szCs w:val="18"/>
        </w:rPr>
        <w:t>4.6 Ulteriori osservazioni</w:t>
      </w:r>
    </w:p>
    <w:p w:rsidR="00E80DDC" w:rsidRDefault="00E80DDC" w:rsidP="00CA689A">
      <w:pPr>
        <w:spacing w:after="0"/>
        <w:jc w:val="both"/>
        <w:rPr>
          <w:rFonts w:ascii="Arial-BoldMT" w:hAnsi="Arial-BoldMT" w:cs="Arial-BoldMT"/>
          <w:bCs/>
          <w:sz w:val="18"/>
          <w:szCs w:val="18"/>
        </w:rPr>
      </w:pPr>
    </w:p>
    <w:p w:rsidR="00E80DDC" w:rsidRPr="00E80DDC" w:rsidRDefault="00E80DDC" w:rsidP="00CA689A">
      <w:pPr>
        <w:spacing w:after="0"/>
        <w:jc w:val="both"/>
        <w:rPr>
          <w:rFonts w:ascii="Arial-BoldMT" w:hAnsi="Arial-BoldMT" w:cs="Arial-BoldMT"/>
          <w:bCs/>
          <w:sz w:val="18"/>
          <w:szCs w:val="18"/>
        </w:rPr>
      </w:pPr>
      <w:bookmarkStart w:id="0" w:name="_GoBack"/>
      <w:bookmarkEnd w:id="0"/>
    </w:p>
    <w:p w:rsidR="00CA689A" w:rsidRPr="00E80DDC" w:rsidRDefault="00CA689A" w:rsidP="00CA689A">
      <w:pPr>
        <w:spacing w:after="0"/>
        <w:jc w:val="both"/>
        <w:rPr>
          <w:rFonts w:ascii="Arial-BoldMT" w:hAnsi="Arial-BoldMT" w:cs="Arial-BoldMT"/>
          <w:b/>
          <w:bCs/>
          <w:sz w:val="21"/>
          <w:szCs w:val="21"/>
        </w:rPr>
      </w:pPr>
      <w:r w:rsidRPr="00E80DDC">
        <w:rPr>
          <w:rFonts w:ascii="Arial-BoldMT" w:hAnsi="Arial-BoldMT" w:cs="Arial-BoldMT"/>
          <w:b/>
          <w:bCs/>
          <w:sz w:val="27"/>
          <w:szCs w:val="27"/>
        </w:rPr>
        <w:t>Indicazioni raccomandazioni</w:t>
      </w:r>
    </w:p>
    <w:sectPr w:rsidR="00CA689A" w:rsidRPr="00E80D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75"/>
    <w:rsid w:val="00163DBD"/>
    <w:rsid w:val="00270DF0"/>
    <w:rsid w:val="003B5F75"/>
    <w:rsid w:val="005113C2"/>
    <w:rsid w:val="006E0EA3"/>
    <w:rsid w:val="00863AAB"/>
    <w:rsid w:val="00877B6F"/>
    <w:rsid w:val="00957BFB"/>
    <w:rsid w:val="00A6162E"/>
    <w:rsid w:val="00CA689A"/>
    <w:rsid w:val="00CA74CE"/>
    <w:rsid w:val="00E1171E"/>
    <w:rsid w:val="00E80DDC"/>
    <w:rsid w:val="00F4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6E0EA3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6E0EA3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0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0E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6E0EA3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6E0EA3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0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0E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Enrichetta Librandi</dc:creator>
  <cp:lastModifiedBy>Enrichetta Librandi</cp:lastModifiedBy>
  <cp:revision>4</cp:revision>
  <dcterms:created xsi:type="dcterms:W3CDTF">2014-06-10T12:40:00Z</dcterms:created>
  <dcterms:modified xsi:type="dcterms:W3CDTF">2014-06-10T13:13:00Z</dcterms:modified>
</cp:coreProperties>
</file>