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145BB" w14:textId="77777777" w:rsidR="0012045F" w:rsidRPr="0012045F" w:rsidRDefault="0012045F">
      <w:pPr>
        <w:rPr>
          <w:b/>
          <w:bCs/>
        </w:rPr>
      </w:pPr>
      <w:r w:rsidRPr="0012045F">
        <w:rPr>
          <w:b/>
          <w:bCs/>
        </w:rPr>
        <w:t>LEZIONE ZERO PER LA SOSTENIBILITÀ A ROMA TRE_a.a. 2024-25</w:t>
      </w:r>
    </w:p>
    <w:p w14:paraId="795DE46B" w14:textId="10B3D6BA" w:rsidR="008127B1" w:rsidRDefault="0012045F">
      <w:r>
        <w:t>SCHEDA per la presentazione di un MODULO</w:t>
      </w:r>
    </w:p>
    <w:p w14:paraId="39E444C7" w14:textId="77777777" w:rsidR="0012045F" w:rsidRDefault="0012045F"/>
    <w:p w14:paraId="5B970BBF" w14:textId="77777777" w:rsidR="0012045F" w:rsidRDefault="0012045F"/>
    <w:p w14:paraId="04F3A98F" w14:textId="4CCBD7DB" w:rsidR="0012045F" w:rsidRDefault="0012045F" w:rsidP="0012045F">
      <w:pPr>
        <w:pBdr>
          <w:bottom w:val="single" w:sz="4" w:space="1" w:color="auto"/>
        </w:pBdr>
        <w:jc w:val="both"/>
        <w:rPr>
          <w:rFonts w:ascii="Arial" w:hAnsi="Arial" w:cs="Arial"/>
          <w:b/>
          <w:bCs/>
          <w:color w:val="000000" w:themeColor="text1"/>
          <w:sz w:val="32"/>
          <w:szCs w:val="32"/>
        </w:rPr>
      </w:pPr>
      <w:r w:rsidRPr="00515EC6">
        <w:rPr>
          <w:rFonts w:ascii="Arial" w:hAnsi="Arial" w:cs="Arial"/>
          <w:b/>
          <w:bCs/>
          <w:color w:val="000000" w:themeColor="text1"/>
          <w:sz w:val="32"/>
          <w:szCs w:val="32"/>
        </w:rPr>
        <w:t>MODULO</w:t>
      </w:r>
      <w:r>
        <w:rPr>
          <w:rFonts w:ascii="Arial" w:hAnsi="Arial" w:cs="Arial"/>
          <w:b/>
          <w:bCs/>
          <w:color w:val="000000" w:themeColor="text1"/>
          <w:sz w:val="32"/>
          <w:szCs w:val="32"/>
        </w:rPr>
        <w:t xml:space="preserve"> </w:t>
      </w:r>
      <w:r w:rsidRPr="00515EC6">
        <w:rPr>
          <w:rFonts w:ascii="Arial" w:hAnsi="Arial" w:cs="Arial"/>
          <w:b/>
          <w:bCs/>
          <w:color w:val="000000" w:themeColor="text1"/>
          <w:sz w:val="32"/>
          <w:szCs w:val="32"/>
        </w:rPr>
        <w:t xml:space="preserve"> </w:t>
      </w:r>
      <w:r w:rsidR="00142874">
        <w:rPr>
          <w:rFonts w:ascii="Arial" w:hAnsi="Arial" w:cs="Arial"/>
          <w:b/>
          <w:bCs/>
          <w:color w:val="000000" w:themeColor="text1"/>
          <w:sz w:val="32"/>
          <w:szCs w:val="32"/>
        </w:rPr>
        <w:t>3</w:t>
      </w:r>
    </w:p>
    <w:p w14:paraId="12BC97BD" w14:textId="4BD7D460" w:rsidR="0012045F" w:rsidRPr="00B47938" w:rsidRDefault="00B47938" w:rsidP="0012045F">
      <w:pPr>
        <w:pBdr>
          <w:bottom w:val="single" w:sz="4" w:space="1" w:color="auto"/>
        </w:pBdr>
        <w:jc w:val="both"/>
        <w:rPr>
          <w:rFonts w:ascii="Arial" w:hAnsi="Arial" w:cs="Arial"/>
          <w:b/>
          <w:bCs/>
          <w:sz w:val="32"/>
          <w:szCs w:val="32"/>
        </w:rPr>
      </w:pPr>
      <w:r w:rsidRPr="00B47938">
        <w:rPr>
          <w:rFonts w:ascii="Arial" w:hAnsi="Arial" w:cs="Arial"/>
          <w:b/>
          <w:bCs/>
          <w:color w:val="000000" w:themeColor="text1"/>
          <w:sz w:val="32"/>
          <w:szCs w:val="32"/>
        </w:rPr>
        <w:t>‘ENERGIA E CITTÀ SOSTENIBILI’</w:t>
      </w:r>
    </w:p>
    <w:p w14:paraId="6815D765" w14:textId="77777777" w:rsidR="0012045F" w:rsidRDefault="0012045F" w:rsidP="0012045F">
      <w:pPr>
        <w:jc w:val="both"/>
        <w:rPr>
          <w:rFonts w:ascii="Arial" w:hAnsi="Arial" w:cs="Arial"/>
          <w:color w:val="000000" w:themeColor="text1"/>
        </w:rPr>
      </w:pPr>
    </w:p>
    <w:p w14:paraId="06D39DCD" w14:textId="29238F7E" w:rsidR="00FF6BCE" w:rsidRPr="00FF6BCE" w:rsidRDefault="00FF6BCE" w:rsidP="00FF6BCE">
      <w:pPr>
        <w:autoSpaceDE w:val="0"/>
        <w:autoSpaceDN w:val="0"/>
        <w:adjustRightInd w:val="0"/>
        <w:rPr>
          <w:rFonts w:ascii="Arial" w:hAnsi="Arial" w:cs="Arial"/>
          <w:color w:val="000000" w:themeColor="text1"/>
        </w:rPr>
      </w:pPr>
      <w:r w:rsidRPr="00FF6BCE">
        <w:rPr>
          <w:rFonts w:ascii="Arial" w:hAnsi="Arial" w:cs="Arial"/>
          <w:color w:val="000000" w:themeColor="text1"/>
        </w:rPr>
        <w:t xml:space="preserve">Prof.ssa </w:t>
      </w:r>
      <w:r w:rsidRPr="00FF6BCE">
        <w:rPr>
          <w:rFonts w:ascii="Arial" w:hAnsi="Arial" w:cs="Arial"/>
          <w:b/>
          <w:color w:val="000000" w:themeColor="text1"/>
        </w:rPr>
        <w:t>Paola Marrone</w:t>
      </w:r>
      <w:r w:rsidRPr="00FF6BCE">
        <w:rPr>
          <w:rFonts w:ascii="Arial" w:hAnsi="Arial" w:cs="Arial"/>
          <w:color w:val="000000" w:themeColor="text1"/>
        </w:rPr>
        <w:t xml:space="preserve"> - Università Roma Tre, Dott.ssa </w:t>
      </w:r>
      <w:r w:rsidRPr="00FF6BCE">
        <w:rPr>
          <w:rFonts w:ascii="Arial" w:hAnsi="Arial" w:cs="Arial"/>
          <w:b/>
          <w:color w:val="000000" w:themeColor="text1"/>
        </w:rPr>
        <w:t>Ilaria Montella</w:t>
      </w:r>
      <w:r w:rsidRPr="00FF6BCE">
        <w:rPr>
          <w:rFonts w:ascii="Arial" w:hAnsi="Arial" w:cs="Arial"/>
          <w:color w:val="000000" w:themeColor="text1"/>
        </w:rPr>
        <w:t xml:space="preserve"> </w:t>
      </w:r>
      <w:r>
        <w:rPr>
          <w:rFonts w:ascii="Arial" w:hAnsi="Arial" w:cs="Arial"/>
          <w:color w:val="000000" w:themeColor="text1"/>
        </w:rPr>
        <w:t xml:space="preserve">- Università Roma Tre, </w:t>
      </w:r>
      <w:r w:rsidRPr="00FF6BCE">
        <w:rPr>
          <w:rFonts w:ascii="Arial" w:hAnsi="Arial" w:cs="Arial"/>
          <w:color w:val="000000" w:themeColor="text1"/>
        </w:rPr>
        <w:t>Dipartimento di Architettura</w:t>
      </w:r>
    </w:p>
    <w:p w14:paraId="25448753" w14:textId="2389A3D7" w:rsidR="00FF6BCE" w:rsidRPr="00FF6BCE" w:rsidRDefault="00FF6BCE" w:rsidP="00FF6BCE">
      <w:pPr>
        <w:autoSpaceDE w:val="0"/>
        <w:autoSpaceDN w:val="0"/>
        <w:adjustRightInd w:val="0"/>
        <w:rPr>
          <w:rFonts w:ascii="Arial" w:hAnsi="Arial" w:cs="Arial"/>
          <w:color w:val="000000" w:themeColor="text1"/>
        </w:rPr>
      </w:pPr>
      <w:r w:rsidRPr="00FF6BCE">
        <w:rPr>
          <w:rFonts w:ascii="Arial" w:hAnsi="Arial" w:cs="Arial"/>
          <w:color w:val="000000" w:themeColor="text1"/>
        </w:rPr>
        <w:t xml:space="preserve">Prof. </w:t>
      </w:r>
      <w:r w:rsidRPr="00FF6BCE">
        <w:rPr>
          <w:rFonts w:ascii="Arial" w:hAnsi="Arial" w:cs="Arial"/>
          <w:b/>
          <w:color w:val="000000" w:themeColor="text1"/>
        </w:rPr>
        <w:t>Stefano Panzieri</w:t>
      </w:r>
      <w:r w:rsidRPr="00FF6BCE">
        <w:rPr>
          <w:rFonts w:ascii="Arial" w:hAnsi="Arial" w:cs="Arial"/>
          <w:color w:val="000000" w:themeColor="text1"/>
        </w:rPr>
        <w:t xml:space="preserve"> - Università Roma Tre, </w:t>
      </w:r>
      <w:r w:rsidRPr="00FF6BCE">
        <w:rPr>
          <w:rFonts w:ascii="Arial" w:hAnsi="Arial" w:cs="Arial"/>
          <w:b/>
          <w:color w:val="000000" w:themeColor="text1"/>
        </w:rPr>
        <w:t>Chiara Foglietta</w:t>
      </w:r>
      <w:r w:rsidRPr="00FF6BCE">
        <w:rPr>
          <w:rFonts w:ascii="Arial" w:hAnsi="Arial" w:cs="Arial"/>
          <w:color w:val="000000" w:themeColor="text1"/>
        </w:rPr>
        <w:t xml:space="preserve"> </w:t>
      </w:r>
      <w:r>
        <w:rPr>
          <w:rFonts w:ascii="Arial" w:hAnsi="Arial" w:cs="Arial"/>
          <w:color w:val="000000" w:themeColor="text1"/>
        </w:rPr>
        <w:t xml:space="preserve">- Università Roma Tre, Dipartimento di </w:t>
      </w:r>
      <w:r w:rsidRPr="00FF6BCE">
        <w:rPr>
          <w:rFonts w:ascii="Arial" w:hAnsi="Arial" w:cs="Arial"/>
          <w:color w:val="000000" w:themeColor="text1"/>
        </w:rPr>
        <w:t>Ingegneria Civile, Informatica e delle Tecnologie Aeronautiche</w:t>
      </w:r>
    </w:p>
    <w:p w14:paraId="7AE6DE7A" w14:textId="50EF0DAE" w:rsidR="00FF6BCE" w:rsidRDefault="00FF6BCE" w:rsidP="00FF6BCE">
      <w:pPr>
        <w:jc w:val="both"/>
        <w:rPr>
          <w:rFonts w:ascii="Arial" w:hAnsi="Arial" w:cs="Arial"/>
          <w:color w:val="000000" w:themeColor="text1"/>
        </w:rPr>
      </w:pPr>
      <w:r w:rsidRPr="00FF6BCE">
        <w:rPr>
          <w:rFonts w:ascii="Arial" w:hAnsi="Arial" w:cs="Arial"/>
          <w:color w:val="000000" w:themeColor="text1"/>
        </w:rPr>
        <w:t xml:space="preserve">Prof. </w:t>
      </w:r>
      <w:r w:rsidRPr="00FF6BCE">
        <w:rPr>
          <w:rFonts w:ascii="Arial" w:hAnsi="Arial" w:cs="Arial"/>
          <w:b/>
          <w:color w:val="000000" w:themeColor="text1"/>
        </w:rPr>
        <w:t>Giuseppe Carrus</w:t>
      </w:r>
      <w:r w:rsidRPr="00FF6BCE">
        <w:rPr>
          <w:rFonts w:ascii="Arial" w:hAnsi="Arial" w:cs="Arial"/>
          <w:color w:val="000000" w:themeColor="text1"/>
        </w:rPr>
        <w:t xml:space="preserve"> - Università Roma Tre, Dipartimento di Scienze della Formazione</w:t>
      </w:r>
    </w:p>
    <w:p w14:paraId="6FCF1CA4" w14:textId="77777777" w:rsidR="0012045F" w:rsidRPr="00B35C19" w:rsidRDefault="0012045F" w:rsidP="0012045F">
      <w:pPr>
        <w:pStyle w:val="Paragrafoelenco"/>
        <w:ind w:left="0"/>
        <w:jc w:val="both"/>
        <w:rPr>
          <w:rFonts w:ascii="Arial" w:hAnsi="Arial" w:cs="Arial"/>
          <w:b/>
          <w:bCs/>
          <w:color w:val="FF0000"/>
        </w:rPr>
      </w:pPr>
    </w:p>
    <w:p w14:paraId="778AC074" w14:textId="77777777" w:rsidR="0012045F" w:rsidRPr="00B35C19" w:rsidRDefault="0012045F" w:rsidP="0012045F">
      <w:pPr>
        <w:pStyle w:val="Paragrafoelenco"/>
        <w:ind w:left="0"/>
        <w:jc w:val="both"/>
        <w:rPr>
          <w:rFonts w:ascii="Arial" w:hAnsi="Arial" w:cs="Arial"/>
          <w:b/>
          <w:bCs/>
          <w:color w:val="215E99" w:themeColor="text2" w:themeTint="BF"/>
        </w:rPr>
      </w:pPr>
      <w:r w:rsidRPr="00B35C19">
        <w:rPr>
          <w:rFonts w:ascii="Arial" w:hAnsi="Arial" w:cs="Arial"/>
          <w:b/>
          <w:bCs/>
          <w:color w:val="215E99" w:themeColor="text2" w:themeTint="BF"/>
        </w:rPr>
        <w:t>NOTE</w:t>
      </w:r>
    </w:p>
    <w:p w14:paraId="21060C2B" w14:textId="61EB58A7" w:rsidR="0012045F" w:rsidRPr="00FF6BCE" w:rsidRDefault="0012045F" w:rsidP="00FF6BCE">
      <w:pPr>
        <w:autoSpaceDE w:val="0"/>
        <w:autoSpaceDN w:val="0"/>
        <w:adjustRightInd w:val="0"/>
        <w:rPr>
          <w:rFonts w:ascii="Futura-Medium" w:hAnsi="Futura-Medium" w:cs="Futura-Medium"/>
          <w:color w:val="595957"/>
          <w:kern w:val="0"/>
          <w:sz w:val="20"/>
          <w:szCs w:val="20"/>
        </w:rPr>
      </w:pPr>
      <w:r w:rsidRPr="00B35C19">
        <w:rPr>
          <w:rFonts w:ascii="Arial" w:hAnsi="Arial" w:cs="Arial"/>
        </w:rPr>
        <w:t>Dipartimenti coinvolti:</w:t>
      </w:r>
      <w:r w:rsidR="00FF6BCE">
        <w:rPr>
          <w:rFonts w:ascii="Arial" w:hAnsi="Arial" w:cs="Arial"/>
        </w:rPr>
        <w:t xml:space="preserve"> </w:t>
      </w:r>
      <w:r w:rsidR="00FF6BCE" w:rsidRPr="00FF6BCE">
        <w:rPr>
          <w:rFonts w:ascii="Arial" w:hAnsi="Arial" w:cs="Arial"/>
        </w:rPr>
        <w:t>Dipartimento di Architettura, Dipartimento di Ingegneria Civile, Informatica e delle Tecnologie Aeronautich</w:t>
      </w:r>
      <w:r w:rsidR="006A386C">
        <w:rPr>
          <w:rFonts w:ascii="Arial" w:hAnsi="Arial" w:cs="Arial"/>
        </w:rPr>
        <w:t xml:space="preserve">e, </w:t>
      </w:r>
      <w:r w:rsidR="006A386C" w:rsidRPr="006A386C">
        <w:rPr>
          <w:rFonts w:ascii="Arial" w:hAnsi="Arial" w:cs="Arial"/>
        </w:rPr>
        <w:t>Dipartimento di Scienze della Formazione</w:t>
      </w:r>
    </w:p>
    <w:p w14:paraId="000D8200" w14:textId="61E9CC1B" w:rsidR="0012045F" w:rsidRPr="00A7761C" w:rsidRDefault="0012045F" w:rsidP="0012045F">
      <w:pPr>
        <w:pStyle w:val="Paragrafoelenco"/>
        <w:ind w:left="3402" w:hanging="3402"/>
        <w:jc w:val="both"/>
        <w:rPr>
          <w:rFonts w:ascii="Arial" w:hAnsi="Arial" w:cs="Arial"/>
        </w:rPr>
      </w:pPr>
      <w:r w:rsidRPr="00A7761C">
        <w:rPr>
          <w:rFonts w:ascii="Arial" w:hAnsi="Arial" w:cs="Arial"/>
        </w:rPr>
        <w:t>Crediti riconosciuti:</w:t>
      </w:r>
      <w:r w:rsidRPr="00A7761C">
        <w:rPr>
          <w:rFonts w:ascii="Arial" w:hAnsi="Arial" w:cs="Arial"/>
        </w:rPr>
        <w:tab/>
      </w:r>
      <w:r>
        <w:rPr>
          <w:rFonts w:ascii="Arial" w:hAnsi="Arial" w:cs="Arial"/>
        </w:rPr>
        <w:t>3 cfu</w:t>
      </w:r>
    </w:p>
    <w:p w14:paraId="2140EC34" w14:textId="4DD2A97E" w:rsidR="0012045F" w:rsidRDefault="0012045F" w:rsidP="0012045F">
      <w:pPr>
        <w:pStyle w:val="Paragrafoelenco"/>
        <w:ind w:left="3402" w:hanging="3402"/>
        <w:jc w:val="both"/>
        <w:rPr>
          <w:rFonts w:ascii="Arial" w:hAnsi="Arial" w:cs="Arial"/>
        </w:rPr>
      </w:pPr>
      <w:r w:rsidRPr="00A7761C">
        <w:rPr>
          <w:rFonts w:ascii="Arial" w:hAnsi="Arial" w:cs="Arial"/>
        </w:rPr>
        <w:t>Durata</w:t>
      </w:r>
      <w:r>
        <w:rPr>
          <w:rFonts w:ascii="Arial" w:hAnsi="Arial" w:cs="Arial"/>
        </w:rPr>
        <w:t xml:space="preserve"> del modulo</w:t>
      </w:r>
      <w:r w:rsidRPr="00A7761C">
        <w:rPr>
          <w:rFonts w:ascii="Arial" w:hAnsi="Arial" w:cs="Arial"/>
        </w:rPr>
        <w:t>:</w:t>
      </w:r>
      <w:r w:rsidRPr="00A7761C">
        <w:rPr>
          <w:rFonts w:ascii="Arial" w:hAnsi="Arial" w:cs="Arial"/>
        </w:rPr>
        <w:tab/>
        <w:t>ore 1</w:t>
      </w:r>
      <w:r>
        <w:rPr>
          <w:rFonts w:ascii="Arial" w:hAnsi="Arial" w:cs="Arial"/>
        </w:rPr>
        <w:t>8</w:t>
      </w:r>
    </w:p>
    <w:p w14:paraId="14A450C5" w14:textId="55145976" w:rsidR="00AA2164" w:rsidRPr="00A7761C" w:rsidRDefault="00AA2164" w:rsidP="0012045F">
      <w:pPr>
        <w:pStyle w:val="Paragrafoelenco"/>
        <w:ind w:left="3402" w:hanging="3402"/>
        <w:jc w:val="both"/>
        <w:rPr>
          <w:rFonts w:ascii="Arial" w:hAnsi="Arial" w:cs="Arial"/>
        </w:rPr>
      </w:pPr>
      <w:r>
        <w:rPr>
          <w:rFonts w:ascii="Arial" w:hAnsi="Arial" w:cs="Arial"/>
        </w:rPr>
        <w:t xml:space="preserve">Docente Responsabile: </w:t>
      </w:r>
      <w:r w:rsidR="00617DCE">
        <w:rPr>
          <w:rFonts w:ascii="Arial" w:hAnsi="Arial" w:cs="Arial"/>
        </w:rPr>
        <w:t xml:space="preserve"> </w:t>
      </w:r>
      <w:r>
        <w:rPr>
          <w:rFonts w:ascii="Arial" w:hAnsi="Arial" w:cs="Arial"/>
        </w:rPr>
        <w:t xml:space="preserve">            </w:t>
      </w:r>
      <w:r w:rsidR="00617DCE">
        <w:rPr>
          <w:rFonts w:ascii="Arial" w:hAnsi="Arial" w:cs="Arial"/>
        </w:rPr>
        <w:t xml:space="preserve">Prof. </w:t>
      </w:r>
      <w:r>
        <w:rPr>
          <w:rFonts w:ascii="Arial" w:hAnsi="Arial" w:cs="Arial"/>
        </w:rPr>
        <w:t>Stefano Panzieri</w:t>
      </w:r>
    </w:p>
    <w:p w14:paraId="00A1B262" w14:textId="47978627" w:rsidR="00FF6BCE" w:rsidRDefault="0012045F" w:rsidP="0012045F">
      <w:pPr>
        <w:pStyle w:val="Paragrafoelenco"/>
        <w:ind w:left="3402" w:hanging="3402"/>
        <w:jc w:val="both"/>
        <w:rPr>
          <w:rFonts w:ascii="Arial" w:hAnsi="Arial" w:cs="Arial"/>
        </w:rPr>
      </w:pPr>
      <w:r w:rsidRPr="00A7761C">
        <w:rPr>
          <w:rFonts w:ascii="Arial" w:hAnsi="Arial" w:cs="Arial"/>
        </w:rPr>
        <w:t>Periodo svolgimento:</w:t>
      </w:r>
      <w:r w:rsidRPr="00A7761C">
        <w:rPr>
          <w:rFonts w:ascii="Arial" w:hAnsi="Arial" w:cs="Arial"/>
        </w:rPr>
        <w:tab/>
      </w:r>
      <w:r w:rsidR="006A386C" w:rsidRPr="00FF6BCE">
        <w:rPr>
          <w:rFonts w:ascii="Arial" w:hAnsi="Arial" w:cs="Arial"/>
        </w:rPr>
        <w:t>aprile</w:t>
      </w:r>
      <w:r w:rsidR="00FF6BCE" w:rsidRPr="00FF6BCE">
        <w:rPr>
          <w:rFonts w:ascii="Arial" w:hAnsi="Arial" w:cs="Arial"/>
        </w:rPr>
        <w:t xml:space="preserve"> – </w:t>
      </w:r>
      <w:r w:rsidR="006A386C">
        <w:rPr>
          <w:rFonts w:ascii="Arial" w:hAnsi="Arial" w:cs="Arial"/>
        </w:rPr>
        <w:t>m</w:t>
      </w:r>
      <w:r w:rsidR="00FF6BCE" w:rsidRPr="00FF6BCE">
        <w:rPr>
          <w:rFonts w:ascii="Arial" w:hAnsi="Arial" w:cs="Arial"/>
        </w:rPr>
        <w:t>aggio</w:t>
      </w:r>
    </w:p>
    <w:p w14:paraId="1089E64E" w14:textId="77777777" w:rsidR="009C2D97" w:rsidRDefault="009C2D97" w:rsidP="009C2D97">
      <w:pPr>
        <w:pStyle w:val="Paragrafoelenco"/>
        <w:tabs>
          <w:tab w:val="left" w:pos="3528"/>
        </w:tabs>
        <w:ind w:left="3402" w:hanging="3402"/>
        <w:jc w:val="both"/>
        <w:rPr>
          <w:rFonts w:ascii="Arial" w:hAnsi="Arial" w:cs="Arial"/>
        </w:rPr>
      </w:pPr>
      <w:r>
        <w:rPr>
          <w:rFonts w:ascii="Arial" w:hAnsi="Arial" w:cs="Arial"/>
        </w:rPr>
        <w:tab/>
      </w:r>
    </w:p>
    <w:p w14:paraId="7E64F76F" w14:textId="21962A06" w:rsidR="009C2D97" w:rsidRPr="009C2D97" w:rsidRDefault="009C2D97" w:rsidP="009C2D97">
      <w:pPr>
        <w:pStyle w:val="Paragrafoelenco"/>
        <w:tabs>
          <w:tab w:val="left" w:pos="3528"/>
        </w:tabs>
        <w:ind w:left="3402" w:hanging="3402"/>
        <w:jc w:val="both"/>
        <w:rPr>
          <w:rFonts w:ascii="Arial" w:hAnsi="Arial" w:cs="Arial"/>
        </w:rPr>
      </w:pPr>
      <w:r w:rsidRPr="009C2D97">
        <w:rPr>
          <w:rFonts w:ascii="Arial" w:hAnsi="Arial" w:cs="Arial"/>
          <w:b/>
          <w:bCs/>
        </w:rPr>
        <w:t xml:space="preserve">                                                   Lezione 1:</w:t>
      </w:r>
      <w:r w:rsidRPr="009C2D97">
        <w:rPr>
          <w:rFonts w:ascii="Arial" w:hAnsi="Arial" w:cs="Arial"/>
        </w:rPr>
        <w:t xml:space="preserve"> 28 maggio 09:00–13:00</w:t>
      </w:r>
      <w:r>
        <w:rPr>
          <w:rFonts w:ascii="Arial" w:hAnsi="Arial" w:cs="Arial"/>
        </w:rPr>
        <w:t xml:space="preserve"> </w:t>
      </w:r>
      <w:r w:rsidRPr="009C2D97">
        <w:rPr>
          <w:rFonts w:ascii="Arial" w:hAnsi="Arial" w:cs="Arial"/>
        </w:rPr>
        <w:t>aula Ersoch, Dipartimento di Architettura</w:t>
      </w:r>
    </w:p>
    <w:p w14:paraId="027547BA" w14:textId="191432F5" w:rsidR="009C2D97" w:rsidRPr="009C2D97" w:rsidRDefault="009C2D97" w:rsidP="009C2D97">
      <w:pPr>
        <w:pStyle w:val="Paragrafoelenco"/>
        <w:tabs>
          <w:tab w:val="left" w:pos="3528"/>
        </w:tabs>
        <w:ind w:left="3402" w:hanging="3402"/>
        <w:jc w:val="both"/>
        <w:rPr>
          <w:rFonts w:ascii="Arial" w:hAnsi="Arial" w:cs="Arial"/>
        </w:rPr>
      </w:pPr>
      <w:r>
        <w:rPr>
          <w:rFonts w:ascii="Arial" w:hAnsi="Arial" w:cs="Arial"/>
        </w:rPr>
        <w:t xml:space="preserve">                                                   </w:t>
      </w:r>
      <w:r w:rsidRPr="009C2D97">
        <w:rPr>
          <w:rFonts w:ascii="Arial" w:hAnsi="Arial" w:cs="Arial"/>
          <w:b/>
          <w:bCs/>
        </w:rPr>
        <w:t>Lezione 2:</w:t>
      </w:r>
      <w:r w:rsidRPr="009C2D97">
        <w:rPr>
          <w:rFonts w:ascii="Arial" w:hAnsi="Arial" w:cs="Arial"/>
        </w:rPr>
        <w:t xml:space="preserve"> 28 maggio 14:00–17:00</w:t>
      </w:r>
      <w:r w:rsidR="00E23196">
        <w:rPr>
          <w:rFonts w:ascii="Arial" w:hAnsi="Arial" w:cs="Arial"/>
        </w:rPr>
        <w:t xml:space="preserve"> </w:t>
      </w:r>
      <w:r w:rsidRPr="009C2D97">
        <w:rPr>
          <w:rFonts w:ascii="Arial" w:hAnsi="Arial" w:cs="Arial"/>
        </w:rPr>
        <w:t>aula Ersoch, Dipartimento di Architettura</w:t>
      </w:r>
    </w:p>
    <w:p w14:paraId="684D5B59" w14:textId="4AA8A7E0" w:rsidR="009C2D97" w:rsidRPr="009C2D97" w:rsidRDefault="009C2D97" w:rsidP="009C2D97">
      <w:pPr>
        <w:pStyle w:val="Paragrafoelenco"/>
        <w:tabs>
          <w:tab w:val="left" w:pos="3528"/>
        </w:tabs>
        <w:ind w:left="3402" w:hanging="3402"/>
        <w:jc w:val="both"/>
        <w:rPr>
          <w:rFonts w:ascii="Arial" w:hAnsi="Arial" w:cs="Arial"/>
        </w:rPr>
      </w:pPr>
      <w:r>
        <w:rPr>
          <w:rFonts w:ascii="Arial" w:hAnsi="Arial" w:cs="Arial"/>
        </w:rPr>
        <w:t xml:space="preserve">                                                   </w:t>
      </w:r>
      <w:r w:rsidRPr="009C2D97">
        <w:rPr>
          <w:rFonts w:ascii="Arial" w:hAnsi="Arial" w:cs="Arial"/>
          <w:b/>
          <w:bCs/>
        </w:rPr>
        <w:t>Lezione 3:</w:t>
      </w:r>
      <w:r w:rsidRPr="009C2D97">
        <w:rPr>
          <w:rFonts w:ascii="Arial" w:hAnsi="Arial" w:cs="Arial"/>
        </w:rPr>
        <w:t xml:space="preserve"> 29 maggio 09:00–12:00 aula De Renzi, Dipartimento di Architettura</w:t>
      </w:r>
    </w:p>
    <w:p w14:paraId="7AB648B0" w14:textId="5B79C1A6" w:rsidR="009C2D97" w:rsidRPr="009C2D97" w:rsidRDefault="009C2D97" w:rsidP="009C2D97">
      <w:pPr>
        <w:pStyle w:val="Paragrafoelenco"/>
        <w:tabs>
          <w:tab w:val="left" w:pos="3528"/>
        </w:tabs>
        <w:ind w:left="3402" w:hanging="3402"/>
        <w:jc w:val="both"/>
        <w:rPr>
          <w:rFonts w:ascii="Arial" w:hAnsi="Arial" w:cs="Arial"/>
        </w:rPr>
      </w:pPr>
      <w:r>
        <w:rPr>
          <w:rFonts w:ascii="Arial" w:hAnsi="Arial" w:cs="Arial"/>
        </w:rPr>
        <w:t xml:space="preserve">                                                   </w:t>
      </w:r>
      <w:r w:rsidRPr="009C2D97">
        <w:rPr>
          <w:rFonts w:ascii="Arial" w:hAnsi="Arial" w:cs="Arial"/>
          <w:b/>
          <w:bCs/>
        </w:rPr>
        <w:t>Lezione 4:</w:t>
      </w:r>
      <w:r w:rsidRPr="009C2D97">
        <w:rPr>
          <w:rFonts w:ascii="Arial" w:hAnsi="Arial" w:cs="Arial"/>
        </w:rPr>
        <w:t xml:space="preserve"> 30 maggio 09:00–13:00 aula De Renzi, Dipartimento di Architettura</w:t>
      </w:r>
    </w:p>
    <w:p w14:paraId="36EEB641" w14:textId="0B2C3D73" w:rsidR="009C2D97" w:rsidRDefault="009C2D97" w:rsidP="009C2D97">
      <w:pPr>
        <w:pStyle w:val="Paragrafoelenco"/>
        <w:tabs>
          <w:tab w:val="left" w:pos="3528"/>
        </w:tabs>
        <w:ind w:left="3402" w:hanging="3402"/>
        <w:jc w:val="both"/>
        <w:rPr>
          <w:rFonts w:ascii="Arial" w:hAnsi="Arial" w:cs="Arial"/>
        </w:rPr>
      </w:pPr>
      <w:r>
        <w:rPr>
          <w:rFonts w:ascii="Arial" w:hAnsi="Arial" w:cs="Arial"/>
        </w:rPr>
        <w:t xml:space="preserve">                                                   </w:t>
      </w:r>
      <w:r w:rsidRPr="009C2D97">
        <w:rPr>
          <w:rFonts w:ascii="Arial" w:hAnsi="Arial" w:cs="Arial"/>
          <w:b/>
          <w:bCs/>
        </w:rPr>
        <w:t>Laboratorio:</w:t>
      </w:r>
      <w:r w:rsidRPr="009C2D97">
        <w:rPr>
          <w:rFonts w:ascii="Arial" w:hAnsi="Arial" w:cs="Arial"/>
        </w:rPr>
        <w:t xml:space="preserve"> 6 giugno 09:00–13:00 aula Ersoch, Dipartimento di Architettura</w:t>
      </w:r>
    </w:p>
    <w:p w14:paraId="35C69285" w14:textId="77777777" w:rsidR="009C2D97" w:rsidRDefault="009C2D97" w:rsidP="0012045F">
      <w:pPr>
        <w:pStyle w:val="Paragrafoelenco"/>
        <w:ind w:left="3402" w:hanging="3402"/>
        <w:jc w:val="both"/>
        <w:rPr>
          <w:rFonts w:ascii="Arial" w:hAnsi="Arial" w:cs="Arial"/>
        </w:rPr>
      </w:pPr>
    </w:p>
    <w:p w14:paraId="738103FF" w14:textId="41069D1F" w:rsidR="0012045F" w:rsidRPr="00A7761C" w:rsidRDefault="0012045F" w:rsidP="0012045F">
      <w:pPr>
        <w:pStyle w:val="Paragrafoelenco"/>
        <w:ind w:left="3402" w:hanging="3402"/>
        <w:jc w:val="both"/>
        <w:rPr>
          <w:rFonts w:ascii="Arial" w:hAnsi="Arial" w:cs="Arial"/>
        </w:rPr>
      </w:pPr>
      <w:r w:rsidRPr="00A7761C">
        <w:rPr>
          <w:rFonts w:ascii="Arial" w:hAnsi="Arial" w:cs="Arial"/>
        </w:rPr>
        <w:t>Modalità di svolgimento:</w:t>
      </w:r>
      <w:r w:rsidRPr="00A7761C">
        <w:rPr>
          <w:rFonts w:ascii="Arial" w:hAnsi="Arial" w:cs="Arial"/>
        </w:rPr>
        <w:tab/>
        <w:t xml:space="preserve">modalità </w:t>
      </w:r>
      <w:r>
        <w:rPr>
          <w:rFonts w:ascii="Arial" w:hAnsi="Arial" w:cs="Arial"/>
        </w:rPr>
        <w:t xml:space="preserve">presenza, </w:t>
      </w:r>
      <w:r w:rsidRPr="00A7761C">
        <w:rPr>
          <w:rFonts w:ascii="Arial" w:hAnsi="Arial" w:cs="Arial"/>
        </w:rPr>
        <w:t>ibrida</w:t>
      </w:r>
    </w:p>
    <w:p w14:paraId="37834021" w14:textId="77777777" w:rsidR="0012045F" w:rsidRPr="00B35C19" w:rsidRDefault="0012045F" w:rsidP="0012045F">
      <w:pPr>
        <w:jc w:val="both"/>
        <w:rPr>
          <w:rFonts w:ascii="Arial" w:hAnsi="Arial" w:cs="Arial"/>
          <w:b/>
          <w:bCs/>
          <w:color w:val="215E99" w:themeColor="text2" w:themeTint="BF"/>
        </w:rPr>
      </w:pPr>
    </w:p>
    <w:p w14:paraId="349F8175" w14:textId="44328305" w:rsidR="002A5A34" w:rsidRPr="00655019" w:rsidRDefault="0012045F" w:rsidP="00655019">
      <w:pPr>
        <w:jc w:val="both"/>
        <w:rPr>
          <w:rFonts w:ascii="Arial" w:hAnsi="Arial" w:cs="Arial"/>
        </w:rPr>
      </w:pPr>
      <w:r w:rsidRPr="00B35C19">
        <w:rPr>
          <w:rFonts w:ascii="Arial" w:hAnsi="Arial" w:cs="Arial"/>
          <w:b/>
          <w:bCs/>
          <w:color w:val="215E99" w:themeColor="text2" w:themeTint="BF"/>
        </w:rPr>
        <w:t>PRESENTAZIONE</w:t>
      </w:r>
      <w:r w:rsidRPr="00B35C19">
        <w:rPr>
          <w:rFonts w:ascii="Arial" w:hAnsi="Arial" w:cs="Arial"/>
        </w:rPr>
        <w:t xml:space="preserve"> </w:t>
      </w:r>
    </w:p>
    <w:p w14:paraId="7ABB4B06" w14:textId="343B671C" w:rsidR="002A5A34" w:rsidRPr="00655019" w:rsidRDefault="002A5A34" w:rsidP="002A5A34">
      <w:pPr>
        <w:autoSpaceDE w:val="0"/>
        <w:autoSpaceDN w:val="0"/>
        <w:adjustRightInd w:val="0"/>
        <w:jc w:val="both"/>
        <w:rPr>
          <w:rFonts w:ascii="Arial" w:hAnsi="Arial" w:cs="Arial"/>
        </w:rPr>
      </w:pPr>
      <w:r w:rsidRPr="00655019">
        <w:rPr>
          <w:rFonts w:ascii="Arial" w:hAnsi="Arial" w:cs="Arial"/>
        </w:rPr>
        <w:t xml:space="preserve">I Traguardi 7.2 e 7.b dellʼObiettivo 7 prevedono che la quota di energie rinnovabili nel consumo totale di energia sia </w:t>
      </w:r>
      <w:r w:rsidR="00653D1D" w:rsidRPr="00655019">
        <w:rPr>
          <w:rFonts w:ascii="Arial" w:hAnsi="Arial" w:cs="Arial"/>
        </w:rPr>
        <w:t>incrementata</w:t>
      </w:r>
      <w:r w:rsidRPr="00655019">
        <w:rPr>
          <w:rFonts w:ascii="Arial" w:hAnsi="Arial" w:cs="Arial"/>
        </w:rPr>
        <w:t xml:space="preserve">, e che infrastrutture e tecnologie siano migliorate per fornire servizi energetici moderni e sostenibili entro il 2030. Condizioni essenziali affinché, soprattutto </w:t>
      </w:r>
      <w:r w:rsidR="00653D1D" w:rsidRPr="00655019">
        <w:rPr>
          <w:rFonts w:ascii="Arial" w:hAnsi="Arial" w:cs="Arial"/>
        </w:rPr>
        <w:t>in</w:t>
      </w:r>
      <w:r w:rsidRPr="00655019">
        <w:rPr>
          <w:rFonts w:ascii="Arial" w:hAnsi="Arial" w:cs="Arial"/>
        </w:rPr>
        <w:t xml:space="preserve"> città, si possano perseguire politiche </w:t>
      </w:r>
      <w:r w:rsidR="00653D1D" w:rsidRPr="00655019">
        <w:rPr>
          <w:rFonts w:ascii="Arial" w:hAnsi="Arial" w:cs="Arial"/>
        </w:rPr>
        <w:t xml:space="preserve">mirate ad </w:t>
      </w:r>
      <w:r w:rsidRPr="00655019">
        <w:rPr>
          <w:rFonts w:ascii="Arial" w:hAnsi="Arial" w:cs="Arial"/>
        </w:rPr>
        <w:t>efficienza delle risorse, mitigazione e adattamento ai cambiamenti climatici (Traguardo 11.b, Obiettivo 11).</w:t>
      </w:r>
    </w:p>
    <w:p w14:paraId="7E3A31F7" w14:textId="0F68CB7A" w:rsidR="002A5A34" w:rsidRPr="00655019" w:rsidRDefault="002A5A34" w:rsidP="002A5A34">
      <w:pPr>
        <w:autoSpaceDE w:val="0"/>
        <w:autoSpaceDN w:val="0"/>
        <w:adjustRightInd w:val="0"/>
        <w:jc w:val="both"/>
        <w:rPr>
          <w:rFonts w:ascii="Arial" w:hAnsi="Arial" w:cs="Arial"/>
        </w:rPr>
      </w:pPr>
      <w:r w:rsidRPr="00655019">
        <w:rPr>
          <w:rFonts w:ascii="Arial" w:hAnsi="Arial" w:cs="Arial"/>
        </w:rPr>
        <w:t xml:space="preserve">Nuovi modelli di autoproduzione e consumo sono necessari per gestire </w:t>
      </w:r>
      <w:r w:rsidR="006A386C" w:rsidRPr="00655019">
        <w:rPr>
          <w:rFonts w:ascii="Arial" w:hAnsi="Arial" w:cs="Arial"/>
        </w:rPr>
        <w:t>l’energia</w:t>
      </w:r>
      <w:r w:rsidRPr="00655019">
        <w:rPr>
          <w:rFonts w:ascii="Arial" w:hAnsi="Arial" w:cs="Arial"/>
        </w:rPr>
        <w:t xml:space="preserve"> da </w:t>
      </w:r>
      <w:r w:rsidR="00653D1D" w:rsidRPr="00655019">
        <w:rPr>
          <w:rFonts w:ascii="Arial" w:hAnsi="Arial" w:cs="Arial"/>
        </w:rPr>
        <w:t xml:space="preserve">FER </w:t>
      </w:r>
      <w:r w:rsidRPr="00655019">
        <w:rPr>
          <w:rFonts w:ascii="Arial" w:hAnsi="Arial" w:cs="Arial"/>
        </w:rPr>
        <w:t>garantendo equità e accesso per tutti.</w:t>
      </w:r>
    </w:p>
    <w:p w14:paraId="39EEF2AA" w14:textId="4E0C1D8E" w:rsidR="00653D1D" w:rsidRPr="00655019" w:rsidRDefault="002A5A34" w:rsidP="002A5A34">
      <w:pPr>
        <w:autoSpaceDE w:val="0"/>
        <w:autoSpaceDN w:val="0"/>
        <w:adjustRightInd w:val="0"/>
        <w:jc w:val="both"/>
        <w:rPr>
          <w:rFonts w:ascii="Arial" w:hAnsi="Arial" w:cs="Arial"/>
        </w:rPr>
      </w:pPr>
      <w:r w:rsidRPr="00655019">
        <w:rPr>
          <w:rFonts w:ascii="Arial" w:hAnsi="Arial" w:cs="Arial"/>
        </w:rPr>
        <w:t xml:space="preserve">Le iniziative europee che incentivano </w:t>
      </w:r>
      <w:r w:rsidR="00653D1D" w:rsidRPr="00655019">
        <w:rPr>
          <w:rFonts w:ascii="Arial" w:hAnsi="Arial" w:cs="Arial"/>
        </w:rPr>
        <w:t>le</w:t>
      </w:r>
      <w:r w:rsidRPr="00655019">
        <w:rPr>
          <w:rFonts w:ascii="Arial" w:hAnsi="Arial" w:cs="Arial"/>
        </w:rPr>
        <w:t xml:space="preserve"> Comunità Energetiche Rinnovabili </w:t>
      </w:r>
      <w:r w:rsidR="00653D1D" w:rsidRPr="00655019">
        <w:rPr>
          <w:rFonts w:ascii="Arial" w:hAnsi="Arial" w:cs="Arial"/>
        </w:rPr>
        <w:t>stanno spingendo</w:t>
      </w:r>
      <w:r w:rsidR="00B46AFA" w:rsidRPr="00655019">
        <w:rPr>
          <w:rFonts w:ascii="Arial" w:hAnsi="Arial" w:cs="Arial"/>
        </w:rPr>
        <w:t xml:space="preserve"> </w:t>
      </w:r>
      <w:r w:rsidR="00653D1D" w:rsidRPr="00655019">
        <w:rPr>
          <w:rFonts w:ascii="Arial" w:hAnsi="Arial" w:cs="Arial"/>
        </w:rPr>
        <w:t>verso il</w:t>
      </w:r>
      <w:r w:rsidRPr="00655019">
        <w:rPr>
          <w:rFonts w:ascii="Arial" w:hAnsi="Arial" w:cs="Arial"/>
        </w:rPr>
        <w:t xml:space="preserve"> decentramento della produzione di energia, anche in ambito urbano. </w:t>
      </w:r>
    </w:p>
    <w:p w14:paraId="65C662D9" w14:textId="7C3965BE" w:rsidR="002A5A34" w:rsidRPr="00655019" w:rsidRDefault="00653D1D" w:rsidP="002A5A34">
      <w:pPr>
        <w:autoSpaceDE w:val="0"/>
        <w:autoSpaceDN w:val="0"/>
        <w:adjustRightInd w:val="0"/>
        <w:jc w:val="both"/>
        <w:rPr>
          <w:rFonts w:ascii="Arial" w:hAnsi="Arial" w:cs="Arial"/>
        </w:rPr>
      </w:pPr>
      <w:r w:rsidRPr="00655019">
        <w:rPr>
          <w:rFonts w:ascii="Arial" w:hAnsi="Arial" w:cs="Arial"/>
        </w:rPr>
        <w:t>A</w:t>
      </w:r>
      <w:r w:rsidR="00B46AFA" w:rsidRPr="00655019">
        <w:rPr>
          <w:rFonts w:ascii="Arial" w:hAnsi="Arial" w:cs="Arial"/>
        </w:rPr>
        <w:t xml:space="preserve"> causa della complessità spaziale e tecnologica delle città densamente edificate, la sfida </w:t>
      </w:r>
      <w:r w:rsidR="006A386C" w:rsidRPr="00655019">
        <w:rPr>
          <w:rFonts w:ascii="Arial" w:hAnsi="Arial" w:cs="Arial"/>
        </w:rPr>
        <w:t>della decarbonizzazione</w:t>
      </w:r>
      <w:r w:rsidR="00B46AFA" w:rsidRPr="00655019">
        <w:rPr>
          <w:rFonts w:ascii="Arial" w:hAnsi="Arial" w:cs="Arial"/>
        </w:rPr>
        <w:t xml:space="preserve"> pone l’esigenza di </w:t>
      </w:r>
      <w:r w:rsidR="008D3967" w:rsidRPr="00655019">
        <w:rPr>
          <w:rFonts w:ascii="Arial" w:hAnsi="Arial" w:cs="Arial"/>
        </w:rPr>
        <w:t>ottimizzazione degli spazi e del rapporto produzione-consumi.</w:t>
      </w:r>
    </w:p>
    <w:p w14:paraId="4BA2D1B3" w14:textId="452C6363" w:rsidR="00011FE3" w:rsidRDefault="007F3935" w:rsidP="002A5A34">
      <w:pPr>
        <w:autoSpaceDE w:val="0"/>
        <w:autoSpaceDN w:val="0"/>
        <w:adjustRightInd w:val="0"/>
        <w:jc w:val="both"/>
        <w:rPr>
          <w:rFonts w:ascii="Arial" w:hAnsi="Arial" w:cs="Arial"/>
        </w:rPr>
      </w:pPr>
      <w:r w:rsidRPr="00655019">
        <w:rPr>
          <w:rFonts w:ascii="Arial" w:hAnsi="Arial" w:cs="Arial"/>
        </w:rPr>
        <w:t xml:space="preserve">Il modulo </w:t>
      </w:r>
      <w:r w:rsidR="00011FE3" w:rsidRPr="00655019">
        <w:rPr>
          <w:rFonts w:ascii="Arial" w:hAnsi="Arial" w:cs="Arial"/>
        </w:rPr>
        <w:t xml:space="preserve">tratterà: le città sostenibili in relazione ai cambiamenti climatici; le Comunità Energetiche Rinnovabili, evidenziando aspetti normativi, rapporto produzione-consumi, </w:t>
      </w:r>
      <w:r w:rsidR="00011FE3" w:rsidRPr="00655019">
        <w:rPr>
          <w:rFonts w:ascii="Arial" w:hAnsi="Arial" w:cs="Arial"/>
        </w:rPr>
        <w:lastRenderedPageBreak/>
        <w:t>sfide tecnologiche per l’uso dell’energia, minimizzazione dei rischi di blackout; studi di psicologia ambientale</w:t>
      </w:r>
      <w:r w:rsidR="00653D1D" w:rsidRPr="00655019">
        <w:rPr>
          <w:rFonts w:ascii="Arial" w:hAnsi="Arial" w:cs="Arial"/>
        </w:rPr>
        <w:t xml:space="preserve"> orientati</w:t>
      </w:r>
      <w:r w:rsidR="00011FE3" w:rsidRPr="00655019">
        <w:rPr>
          <w:rFonts w:ascii="Arial" w:hAnsi="Arial" w:cs="Arial"/>
        </w:rPr>
        <w:t xml:space="preserve"> al cambiamento comportamentale per ridurre i consumi e promuovere scelte sostenibili; un algoritmo di ottimizzazione basato su tecniche evolutive; un modello d’uso basato sull’ottimizzazione del mix autoproduzione-acquisto dalla rete in funzione di ri</w:t>
      </w:r>
      <w:r w:rsidR="00653D1D" w:rsidRPr="00655019">
        <w:rPr>
          <w:rFonts w:ascii="Arial" w:hAnsi="Arial" w:cs="Arial"/>
        </w:rPr>
        <w:t>chieste previsionali (</w:t>
      </w:r>
      <w:r w:rsidR="00653D1D" w:rsidRPr="006A386C">
        <w:rPr>
          <w:rFonts w:ascii="Arial" w:hAnsi="Arial" w:cs="Arial"/>
          <w:i/>
          <w:iCs/>
        </w:rPr>
        <w:t>active demand</w:t>
      </w:r>
      <w:r w:rsidR="00011FE3" w:rsidRPr="00655019">
        <w:rPr>
          <w:rFonts w:ascii="Arial" w:hAnsi="Arial" w:cs="Arial"/>
        </w:rPr>
        <w:t>).</w:t>
      </w:r>
    </w:p>
    <w:p w14:paraId="613563B1" w14:textId="56600EC3" w:rsidR="0012045F" w:rsidRPr="00B35C19" w:rsidRDefault="0012045F" w:rsidP="0012045F">
      <w:pPr>
        <w:jc w:val="both"/>
        <w:rPr>
          <w:rFonts w:ascii="Arial" w:hAnsi="Arial" w:cs="Arial"/>
          <w:color w:val="FF0000"/>
        </w:rPr>
      </w:pPr>
    </w:p>
    <w:p w14:paraId="583E67B3" w14:textId="77777777" w:rsidR="0012045F" w:rsidRPr="00B35C19" w:rsidRDefault="0012045F" w:rsidP="0012045F">
      <w:pPr>
        <w:jc w:val="both"/>
        <w:rPr>
          <w:rFonts w:ascii="Arial" w:hAnsi="Arial" w:cs="Arial"/>
          <w:b/>
          <w:bCs/>
          <w:color w:val="215E99" w:themeColor="text2" w:themeTint="BF"/>
        </w:rPr>
      </w:pPr>
      <w:r w:rsidRPr="00B35C19">
        <w:rPr>
          <w:rFonts w:ascii="Arial" w:hAnsi="Arial" w:cs="Arial"/>
          <w:b/>
          <w:bCs/>
          <w:color w:val="215E99" w:themeColor="text2" w:themeTint="BF"/>
        </w:rPr>
        <w:t>OBIETTIVI DI SVILUPPO SOSTENIBILE</w:t>
      </w:r>
    </w:p>
    <w:p w14:paraId="6D1D152B" w14:textId="1EA7E26D" w:rsidR="0012045F" w:rsidRDefault="0012045F" w:rsidP="0012045F">
      <w:pPr>
        <w:jc w:val="both"/>
        <w:rPr>
          <w:rFonts w:ascii="Arial" w:hAnsi="Arial" w:cs="Arial"/>
        </w:rPr>
      </w:pPr>
      <w:r w:rsidRPr="00B35C19">
        <w:rPr>
          <w:rFonts w:ascii="Arial" w:hAnsi="Arial" w:cs="Arial"/>
          <w:b/>
          <w:bCs/>
        </w:rPr>
        <w:t xml:space="preserve">Obiettivo </w:t>
      </w:r>
      <w:r w:rsidR="00FF6BCE">
        <w:rPr>
          <w:rFonts w:ascii="Arial" w:hAnsi="Arial" w:cs="Arial"/>
          <w:b/>
          <w:bCs/>
        </w:rPr>
        <w:t>7</w:t>
      </w:r>
      <w:r w:rsidR="00FF6BCE">
        <w:rPr>
          <w:rFonts w:ascii="Arial" w:hAnsi="Arial" w:cs="Arial"/>
        </w:rPr>
        <w:t xml:space="preserve">. </w:t>
      </w:r>
      <w:r w:rsidR="00FF6BCE" w:rsidRPr="00FF6BCE">
        <w:rPr>
          <w:rFonts w:ascii="Arial" w:hAnsi="Arial" w:cs="Arial"/>
        </w:rPr>
        <w:t xml:space="preserve">Assicurare a tutti </w:t>
      </w:r>
      <w:r w:rsidR="006A386C" w:rsidRPr="00FF6BCE">
        <w:rPr>
          <w:rFonts w:ascii="Arial" w:hAnsi="Arial" w:cs="Arial"/>
        </w:rPr>
        <w:t>l’accesso</w:t>
      </w:r>
      <w:r w:rsidR="00FF6BCE" w:rsidRPr="00FF6BCE">
        <w:rPr>
          <w:rFonts w:ascii="Arial" w:hAnsi="Arial" w:cs="Arial"/>
        </w:rPr>
        <w:t xml:space="preserve"> a sistemi di energia economici, affidabili, sostenibili e moderni;</w:t>
      </w:r>
    </w:p>
    <w:p w14:paraId="180CF6F4" w14:textId="5FCB8883" w:rsidR="00FF6BCE" w:rsidRPr="00B35C19" w:rsidRDefault="00FF6BCE" w:rsidP="0012045F">
      <w:pPr>
        <w:jc w:val="both"/>
        <w:rPr>
          <w:rFonts w:ascii="Arial" w:hAnsi="Arial" w:cs="Arial"/>
        </w:rPr>
      </w:pPr>
      <w:r w:rsidRPr="00B35C19">
        <w:rPr>
          <w:rFonts w:ascii="Arial" w:hAnsi="Arial" w:cs="Arial"/>
          <w:b/>
          <w:bCs/>
        </w:rPr>
        <w:t>Obiettivo</w:t>
      </w:r>
      <w:r>
        <w:rPr>
          <w:rFonts w:ascii="Arial" w:hAnsi="Arial" w:cs="Arial"/>
          <w:b/>
          <w:bCs/>
        </w:rPr>
        <w:t xml:space="preserve"> 11</w:t>
      </w:r>
      <w:r>
        <w:rPr>
          <w:rFonts w:ascii="Arial" w:hAnsi="Arial" w:cs="Arial"/>
        </w:rPr>
        <w:t xml:space="preserve">. </w:t>
      </w:r>
      <w:r w:rsidRPr="00FF6BCE">
        <w:rPr>
          <w:rFonts w:ascii="Arial" w:hAnsi="Arial" w:cs="Arial"/>
        </w:rPr>
        <w:t>Rendere le città e gli insediamenti umani inclusivi, sicuri, duraturi e sostenibili.</w:t>
      </w:r>
    </w:p>
    <w:p w14:paraId="2754ACE6" w14:textId="77777777" w:rsidR="0012045F" w:rsidRPr="00B35C19" w:rsidRDefault="0012045F" w:rsidP="0012045F">
      <w:pPr>
        <w:jc w:val="both"/>
        <w:rPr>
          <w:rFonts w:ascii="Arial" w:hAnsi="Arial" w:cs="Arial"/>
          <w:color w:val="000000" w:themeColor="text1"/>
        </w:rPr>
      </w:pPr>
    </w:p>
    <w:p w14:paraId="7679B75D" w14:textId="77777777" w:rsidR="0012045F" w:rsidRPr="00EA53EB" w:rsidRDefault="0012045F" w:rsidP="0012045F">
      <w:pPr>
        <w:jc w:val="both"/>
        <w:rPr>
          <w:rFonts w:ascii="Arial" w:hAnsi="Arial" w:cs="Arial"/>
          <w:b/>
          <w:bCs/>
          <w:color w:val="0070C0"/>
        </w:rPr>
      </w:pPr>
      <w:r w:rsidRPr="00EA53EB">
        <w:rPr>
          <w:rFonts w:ascii="Arial" w:hAnsi="Arial" w:cs="Arial"/>
          <w:b/>
          <w:bCs/>
          <w:color w:val="0070C0"/>
        </w:rPr>
        <w:t>CONTENUTI</w:t>
      </w:r>
    </w:p>
    <w:p w14:paraId="53CF9A4C" w14:textId="58276F54" w:rsidR="0012045F" w:rsidRDefault="0012045F" w:rsidP="0012045F">
      <w:pPr>
        <w:jc w:val="both"/>
        <w:rPr>
          <w:rFonts w:ascii="Arial" w:hAnsi="Arial" w:cs="Arial"/>
          <w:color w:val="000000" w:themeColor="text1"/>
        </w:rPr>
      </w:pPr>
    </w:p>
    <w:p w14:paraId="0B5A98F2" w14:textId="2A108E14" w:rsidR="00FF6BCE" w:rsidRDefault="00FF6BCE" w:rsidP="0012045F">
      <w:pPr>
        <w:jc w:val="both"/>
        <w:rPr>
          <w:rFonts w:ascii="Arial" w:hAnsi="Arial" w:cs="Arial"/>
          <w:color w:val="000000" w:themeColor="text1"/>
        </w:rPr>
      </w:pPr>
      <w:r w:rsidRPr="00FF6BCE">
        <w:rPr>
          <w:rFonts w:ascii="Arial" w:hAnsi="Arial" w:cs="Arial"/>
          <w:b/>
          <w:color w:val="000000" w:themeColor="text1"/>
        </w:rPr>
        <w:t>Le città Sostenibili</w:t>
      </w:r>
      <w:r w:rsidRPr="00FF6BCE">
        <w:rPr>
          <w:rFonts w:ascii="Arial" w:hAnsi="Arial" w:cs="Arial"/>
          <w:color w:val="000000" w:themeColor="text1"/>
        </w:rPr>
        <w:t xml:space="preserve"> (Paola Marrone, Giuseppe Carrus)</w:t>
      </w:r>
    </w:p>
    <w:p w14:paraId="47429BC3" w14:textId="77777777" w:rsidR="00FF6BCE" w:rsidRDefault="00FF6BCE" w:rsidP="00FF6BCE">
      <w:pPr>
        <w:pStyle w:val="Paragrafoelenco"/>
        <w:numPr>
          <w:ilvl w:val="0"/>
          <w:numId w:val="2"/>
        </w:numPr>
        <w:autoSpaceDE w:val="0"/>
        <w:autoSpaceDN w:val="0"/>
        <w:adjustRightInd w:val="0"/>
        <w:rPr>
          <w:rFonts w:ascii="Arial" w:hAnsi="Arial" w:cs="Arial"/>
          <w:color w:val="000000" w:themeColor="text1"/>
        </w:rPr>
      </w:pPr>
      <w:r w:rsidRPr="00FF6BCE">
        <w:rPr>
          <w:rFonts w:ascii="Arial" w:hAnsi="Arial" w:cs="Arial"/>
          <w:color w:val="000000" w:themeColor="text1"/>
        </w:rPr>
        <w:t>La città sostenibile</w:t>
      </w:r>
    </w:p>
    <w:p w14:paraId="7CC7240D" w14:textId="77777777" w:rsidR="00FF6BCE" w:rsidRDefault="00FF6BCE" w:rsidP="00FF6BCE">
      <w:pPr>
        <w:pStyle w:val="Paragrafoelenco"/>
        <w:numPr>
          <w:ilvl w:val="0"/>
          <w:numId w:val="2"/>
        </w:numPr>
        <w:autoSpaceDE w:val="0"/>
        <w:autoSpaceDN w:val="0"/>
        <w:adjustRightInd w:val="0"/>
        <w:rPr>
          <w:rFonts w:ascii="Arial" w:hAnsi="Arial" w:cs="Arial"/>
          <w:color w:val="000000" w:themeColor="text1"/>
        </w:rPr>
      </w:pPr>
      <w:r w:rsidRPr="00FF6BCE">
        <w:rPr>
          <w:rFonts w:ascii="Arial" w:hAnsi="Arial" w:cs="Arial"/>
          <w:color w:val="000000" w:themeColor="text1"/>
        </w:rPr>
        <w:t>Il problema dei cambiamenti climatici</w:t>
      </w:r>
    </w:p>
    <w:p w14:paraId="69576D61" w14:textId="77777777" w:rsidR="00FF6BCE" w:rsidRDefault="00FF6BCE" w:rsidP="00FF6BCE">
      <w:pPr>
        <w:pStyle w:val="Paragrafoelenco"/>
        <w:numPr>
          <w:ilvl w:val="0"/>
          <w:numId w:val="2"/>
        </w:numPr>
        <w:autoSpaceDE w:val="0"/>
        <w:autoSpaceDN w:val="0"/>
        <w:adjustRightInd w:val="0"/>
        <w:rPr>
          <w:rFonts w:ascii="Arial" w:hAnsi="Arial" w:cs="Arial"/>
          <w:color w:val="000000" w:themeColor="text1"/>
        </w:rPr>
      </w:pPr>
      <w:r w:rsidRPr="00FF6BCE">
        <w:rPr>
          <w:rFonts w:ascii="Arial" w:hAnsi="Arial" w:cs="Arial"/>
          <w:color w:val="000000" w:themeColor="text1"/>
        </w:rPr>
        <w:t>Le strategie per la decarbonizzazione</w:t>
      </w:r>
    </w:p>
    <w:p w14:paraId="43333E66" w14:textId="5A0BFFAC" w:rsidR="00FF6BCE" w:rsidRPr="00FF6BCE" w:rsidRDefault="00FF6BCE" w:rsidP="00FF6BCE">
      <w:pPr>
        <w:pStyle w:val="Paragrafoelenco"/>
        <w:numPr>
          <w:ilvl w:val="0"/>
          <w:numId w:val="2"/>
        </w:numPr>
        <w:autoSpaceDE w:val="0"/>
        <w:autoSpaceDN w:val="0"/>
        <w:adjustRightInd w:val="0"/>
        <w:rPr>
          <w:rFonts w:ascii="Arial" w:hAnsi="Arial" w:cs="Arial"/>
          <w:color w:val="000000" w:themeColor="text1"/>
        </w:rPr>
      </w:pPr>
      <w:r w:rsidRPr="00FF6BCE">
        <w:rPr>
          <w:rFonts w:ascii="Arial" w:hAnsi="Arial" w:cs="Arial"/>
          <w:color w:val="000000" w:themeColor="text1"/>
        </w:rPr>
        <w:t>Fattori psicologici e strategie comportamentali per il risparmio energetico</w:t>
      </w:r>
    </w:p>
    <w:p w14:paraId="40774C7B" w14:textId="77777777" w:rsidR="00FF6BCE" w:rsidRDefault="00FF6BCE" w:rsidP="0012045F">
      <w:pPr>
        <w:jc w:val="both"/>
        <w:rPr>
          <w:rFonts w:ascii="Arial" w:hAnsi="Arial" w:cs="Arial"/>
          <w:color w:val="000000" w:themeColor="text1"/>
        </w:rPr>
      </w:pPr>
    </w:p>
    <w:p w14:paraId="1C02C7E7" w14:textId="77777777" w:rsidR="00FF6BCE" w:rsidRPr="00FF6BCE" w:rsidRDefault="00FF6BCE" w:rsidP="00FF6BCE">
      <w:pPr>
        <w:autoSpaceDE w:val="0"/>
        <w:autoSpaceDN w:val="0"/>
        <w:adjustRightInd w:val="0"/>
        <w:rPr>
          <w:rFonts w:ascii="Arial" w:hAnsi="Arial" w:cs="Arial"/>
          <w:color w:val="000000" w:themeColor="text1"/>
        </w:rPr>
      </w:pPr>
      <w:r w:rsidRPr="00232131">
        <w:rPr>
          <w:rFonts w:ascii="Arial" w:hAnsi="Arial" w:cs="Arial"/>
          <w:b/>
          <w:color w:val="000000" w:themeColor="text1"/>
        </w:rPr>
        <w:t>Le Comunità energetiche e fonti rinnovabili urbane</w:t>
      </w:r>
      <w:r w:rsidRPr="00FF6BCE">
        <w:rPr>
          <w:rFonts w:ascii="Arial" w:hAnsi="Arial" w:cs="Arial"/>
          <w:color w:val="000000" w:themeColor="text1"/>
        </w:rPr>
        <w:t xml:space="preserve"> (Ilaria Montella)</w:t>
      </w:r>
    </w:p>
    <w:p w14:paraId="63054E12" w14:textId="77777777" w:rsidR="00232131" w:rsidRDefault="00232131" w:rsidP="00232131">
      <w:pPr>
        <w:pStyle w:val="Paragrafoelenco"/>
        <w:numPr>
          <w:ilvl w:val="0"/>
          <w:numId w:val="3"/>
        </w:numPr>
        <w:autoSpaceDE w:val="0"/>
        <w:autoSpaceDN w:val="0"/>
        <w:adjustRightInd w:val="0"/>
        <w:rPr>
          <w:rFonts w:ascii="Arial" w:hAnsi="Arial" w:cs="Arial"/>
          <w:color w:val="000000" w:themeColor="text1"/>
        </w:rPr>
      </w:pPr>
      <w:r w:rsidRPr="00232131">
        <w:rPr>
          <w:rFonts w:ascii="Arial" w:hAnsi="Arial" w:cs="Arial"/>
          <w:color w:val="000000" w:themeColor="text1"/>
        </w:rPr>
        <w:t>Introduzione alle Comunità Energetiche Rinnovabili</w:t>
      </w:r>
    </w:p>
    <w:p w14:paraId="2714EAAD" w14:textId="7CCDF7AF" w:rsidR="00232131" w:rsidRDefault="00232131" w:rsidP="00232131">
      <w:pPr>
        <w:pStyle w:val="Paragrafoelenco"/>
        <w:numPr>
          <w:ilvl w:val="0"/>
          <w:numId w:val="3"/>
        </w:numPr>
        <w:autoSpaceDE w:val="0"/>
        <w:autoSpaceDN w:val="0"/>
        <w:adjustRightInd w:val="0"/>
        <w:rPr>
          <w:rFonts w:ascii="Arial" w:hAnsi="Arial" w:cs="Arial"/>
          <w:color w:val="000000" w:themeColor="text1"/>
        </w:rPr>
      </w:pPr>
      <w:r w:rsidRPr="00232131">
        <w:rPr>
          <w:rFonts w:ascii="Arial" w:hAnsi="Arial" w:cs="Arial"/>
          <w:color w:val="000000" w:themeColor="text1"/>
        </w:rPr>
        <w:t xml:space="preserve">Mappatura dei consumi degli edifici e i profili </w:t>
      </w:r>
      <w:r w:rsidR="006A386C" w:rsidRPr="00232131">
        <w:rPr>
          <w:rFonts w:ascii="Arial" w:hAnsi="Arial" w:cs="Arial"/>
          <w:color w:val="000000" w:themeColor="text1"/>
        </w:rPr>
        <w:t>d’uso</w:t>
      </w:r>
      <w:r w:rsidRPr="00232131">
        <w:rPr>
          <w:rFonts w:ascii="Arial" w:hAnsi="Arial" w:cs="Arial"/>
          <w:color w:val="000000" w:themeColor="text1"/>
        </w:rPr>
        <w:t xml:space="preserve"> degli utenti</w:t>
      </w:r>
    </w:p>
    <w:p w14:paraId="275D8299" w14:textId="77777777" w:rsidR="00232131" w:rsidRDefault="00232131" w:rsidP="00232131">
      <w:pPr>
        <w:pStyle w:val="Paragrafoelenco"/>
        <w:numPr>
          <w:ilvl w:val="0"/>
          <w:numId w:val="3"/>
        </w:numPr>
        <w:autoSpaceDE w:val="0"/>
        <w:autoSpaceDN w:val="0"/>
        <w:adjustRightInd w:val="0"/>
        <w:rPr>
          <w:rFonts w:ascii="Arial" w:hAnsi="Arial" w:cs="Arial"/>
          <w:color w:val="000000" w:themeColor="text1"/>
        </w:rPr>
      </w:pPr>
      <w:r w:rsidRPr="00232131">
        <w:rPr>
          <w:rFonts w:ascii="Arial" w:hAnsi="Arial" w:cs="Arial"/>
          <w:color w:val="000000" w:themeColor="text1"/>
        </w:rPr>
        <w:t>Sistemi di generazione elettrica da fonte rinnovabile: fotovoltaico, eolico, geotermico, idroelettrico, biomassa, biogas</w:t>
      </w:r>
    </w:p>
    <w:p w14:paraId="06D2CFF7" w14:textId="77777777" w:rsidR="00232131" w:rsidRDefault="00232131" w:rsidP="00232131">
      <w:pPr>
        <w:pStyle w:val="Paragrafoelenco"/>
        <w:numPr>
          <w:ilvl w:val="0"/>
          <w:numId w:val="3"/>
        </w:numPr>
        <w:autoSpaceDE w:val="0"/>
        <w:autoSpaceDN w:val="0"/>
        <w:adjustRightInd w:val="0"/>
        <w:rPr>
          <w:rFonts w:ascii="Arial" w:hAnsi="Arial" w:cs="Arial"/>
          <w:color w:val="000000" w:themeColor="text1"/>
        </w:rPr>
      </w:pPr>
      <w:r w:rsidRPr="00232131">
        <w:rPr>
          <w:rFonts w:ascii="Arial" w:hAnsi="Arial" w:cs="Arial"/>
          <w:color w:val="000000" w:themeColor="text1"/>
        </w:rPr>
        <w:t>Sistemi solari termici</w:t>
      </w:r>
    </w:p>
    <w:p w14:paraId="73098ACB" w14:textId="6080E7E2" w:rsidR="00232131" w:rsidRPr="00232131" w:rsidRDefault="00232131" w:rsidP="00232131">
      <w:pPr>
        <w:pStyle w:val="Paragrafoelenco"/>
        <w:numPr>
          <w:ilvl w:val="0"/>
          <w:numId w:val="3"/>
        </w:numPr>
        <w:autoSpaceDE w:val="0"/>
        <w:autoSpaceDN w:val="0"/>
        <w:adjustRightInd w:val="0"/>
        <w:rPr>
          <w:rFonts w:ascii="Arial" w:hAnsi="Arial" w:cs="Arial"/>
          <w:color w:val="000000" w:themeColor="text1"/>
        </w:rPr>
      </w:pPr>
      <w:r w:rsidRPr="00232131">
        <w:rPr>
          <w:rFonts w:ascii="Arial" w:hAnsi="Arial" w:cs="Arial"/>
          <w:color w:val="000000" w:themeColor="text1"/>
        </w:rPr>
        <w:t xml:space="preserve">Integrazione dei sistemi di produzione energetica sugli edifici e nei contesti urbani </w:t>
      </w:r>
    </w:p>
    <w:p w14:paraId="4AC66F20" w14:textId="77777777" w:rsidR="00232131" w:rsidRDefault="00232131" w:rsidP="00232131">
      <w:pPr>
        <w:autoSpaceDE w:val="0"/>
        <w:autoSpaceDN w:val="0"/>
        <w:adjustRightInd w:val="0"/>
        <w:rPr>
          <w:rFonts w:ascii="Futura-Medium" w:hAnsi="Futura-Medium" w:cs="Futura-Medium"/>
          <w:color w:val="595957"/>
          <w:kern w:val="0"/>
          <w:sz w:val="20"/>
          <w:szCs w:val="20"/>
        </w:rPr>
      </w:pPr>
    </w:p>
    <w:p w14:paraId="01084006" w14:textId="77777777" w:rsidR="00FF6BCE" w:rsidRPr="00232131" w:rsidRDefault="00FF6BCE" w:rsidP="00FF6BCE">
      <w:pPr>
        <w:autoSpaceDE w:val="0"/>
        <w:autoSpaceDN w:val="0"/>
        <w:adjustRightInd w:val="0"/>
        <w:rPr>
          <w:rFonts w:ascii="Arial" w:hAnsi="Arial" w:cs="Arial"/>
          <w:color w:val="000000" w:themeColor="text1"/>
        </w:rPr>
      </w:pPr>
      <w:r w:rsidRPr="00232131">
        <w:rPr>
          <w:rFonts w:ascii="Arial" w:hAnsi="Arial" w:cs="Arial"/>
          <w:b/>
          <w:color w:val="000000" w:themeColor="text1"/>
        </w:rPr>
        <w:t>Analisi del rischio</w:t>
      </w:r>
      <w:r w:rsidRPr="00232131">
        <w:rPr>
          <w:rFonts w:ascii="Arial" w:hAnsi="Arial" w:cs="Arial"/>
          <w:color w:val="000000" w:themeColor="text1"/>
        </w:rPr>
        <w:t xml:space="preserve"> (Stefano Panzieri)</w:t>
      </w:r>
    </w:p>
    <w:p w14:paraId="786EB536" w14:textId="77777777" w:rsidR="00232131" w:rsidRDefault="00232131" w:rsidP="00232131">
      <w:pPr>
        <w:pStyle w:val="Paragrafoelenco"/>
        <w:numPr>
          <w:ilvl w:val="0"/>
          <w:numId w:val="4"/>
        </w:numPr>
        <w:autoSpaceDE w:val="0"/>
        <w:autoSpaceDN w:val="0"/>
        <w:adjustRightInd w:val="0"/>
        <w:rPr>
          <w:rFonts w:ascii="Arial" w:hAnsi="Arial" w:cs="Arial"/>
          <w:color w:val="000000" w:themeColor="text1"/>
        </w:rPr>
      </w:pPr>
      <w:r w:rsidRPr="00232131">
        <w:rPr>
          <w:rFonts w:ascii="Arial" w:hAnsi="Arial" w:cs="Arial"/>
          <w:color w:val="000000" w:themeColor="text1"/>
        </w:rPr>
        <w:t>Interdipendenze</w:t>
      </w:r>
    </w:p>
    <w:p w14:paraId="018F5139" w14:textId="4A2ADF0A" w:rsidR="00232131" w:rsidRPr="00232131" w:rsidRDefault="00232131" w:rsidP="00232131">
      <w:pPr>
        <w:pStyle w:val="Paragrafoelenco"/>
        <w:numPr>
          <w:ilvl w:val="0"/>
          <w:numId w:val="4"/>
        </w:numPr>
        <w:autoSpaceDE w:val="0"/>
        <w:autoSpaceDN w:val="0"/>
        <w:adjustRightInd w:val="0"/>
        <w:rPr>
          <w:rFonts w:ascii="Arial" w:hAnsi="Arial" w:cs="Arial"/>
          <w:color w:val="000000" w:themeColor="text1"/>
        </w:rPr>
      </w:pPr>
      <w:r w:rsidRPr="00232131">
        <w:rPr>
          <w:rFonts w:ascii="Arial" w:hAnsi="Arial" w:cs="Arial"/>
          <w:color w:val="000000" w:themeColor="text1"/>
        </w:rPr>
        <w:t>Effetti a cascata</w:t>
      </w:r>
    </w:p>
    <w:p w14:paraId="3AB520E2" w14:textId="77777777" w:rsidR="00FF6BCE" w:rsidRPr="00232131" w:rsidRDefault="00FF6BCE" w:rsidP="0012045F">
      <w:pPr>
        <w:jc w:val="both"/>
        <w:rPr>
          <w:rFonts w:ascii="Arial" w:hAnsi="Arial" w:cs="Arial"/>
          <w:b/>
          <w:color w:val="000000" w:themeColor="text1"/>
        </w:rPr>
      </w:pPr>
    </w:p>
    <w:p w14:paraId="51BB5312" w14:textId="4A8A442D" w:rsidR="00FF6BCE" w:rsidRPr="0012045F" w:rsidRDefault="00232131" w:rsidP="00232131">
      <w:pPr>
        <w:tabs>
          <w:tab w:val="left" w:pos="947"/>
        </w:tabs>
        <w:jc w:val="both"/>
        <w:rPr>
          <w:rFonts w:ascii="Arial" w:hAnsi="Arial" w:cs="Arial"/>
          <w:color w:val="000000" w:themeColor="text1"/>
        </w:rPr>
      </w:pPr>
      <w:r w:rsidRPr="00232131">
        <w:rPr>
          <w:rFonts w:ascii="Arial" w:hAnsi="Arial" w:cs="Arial"/>
          <w:b/>
          <w:color w:val="000000" w:themeColor="text1"/>
        </w:rPr>
        <w:t>Ottimizzazione tramite algoritmi evolutivi</w:t>
      </w:r>
      <w:r>
        <w:rPr>
          <w:rFonts w:ascii="Futura-Bold" w:hAnsi="Futura-Bold" w:cs="Futura-Bold"/>
          <w:b/>
          <w:bCs/>
          <w:color w:val="1D1D1B"/>
          <w:kern w:val="0"/>
          <w:sz w:val="20"/>
          <w:szCs w:val="20"/>
        </w:rPr>
        <w:t xml:space="preserve"> </w:t>
      </w:r>
      <w:r w:rsidRPr="00232131">
        <w:rPr>
          <w:rFonts w:ascii="Arial" w:hAnsi="Arial" w:cs="Arial"/>
          <w:color w:val="000000" w:themeColor="text1"/>
        </w:rPr>
        <w:t>(Stefano Panzieri)</w:t>
      </w:r>
    </w:p>
    <w:p w14:paraId="7CFD108D" w14:textId="77777777" w:rsidR="00232131" w:rsidRDefault="00232131" w:rsidP="00232131">
      <w:pPr>
        <w:pStyle w:val="Paragrafoelenco"/>
        <w:numPr>
          <w:ilvl w:val="0"/>
          <w:numId w:val="5"/>
        </w:numPr>
        <w:autoSpaceDE w:val="0"/>
        <w:autoSpaceDN w:val="0"/>
        <w:adjustRightInd w:val="0"/>
        <w:rPr>
          <w:rFonts w:ascii="Arial" w:hAnsi="Arial" w:cs="Arial"/>
          <w:color w:val="000000" w:themeColor="text1"/>
        </w:rPr>
      </w:pPr>
      <w:r w:rsidRPr="00232131">
        <w:rPr>
          <w:rFonts w:ascii="Arial" w:hAnsi="Arial" w:cs="Arial"/>
          <w:color w:val="000000" w:themeColor="text1"/>
        </w:rPr>
        <w:t>Funzioni obiettivo</w:t>
      </w:r>
    </w:p>
    <w:p w14:paraId="15A5A0EB" w14:textId="1370F1FD" w:rsidR="00232131" w:rsidRDefault="00232131" w:rsidP="00232131">
      <w:pPr>
        <w:pStyle w:val="Paragrafoelenco"/>
        <w:numPr>
          <w:ilvl w:val="0"/>
          <w:numId w:val="5"/>
        </w:numPr>
        <w:autoSpaceDE w:val="0"/>
        <w:autoSpaceDN w:val="0"/>
        <w:adjustRightInd w:val="0"/>
        <w:rPr>
          <w:rFonts w:ascii="Arial" w:hAnsi="Arial" w:cs="Arial"/>
          <w:color w:val="000000" w:themeColor="text1"/>
        </w:rPr>
      </w:pPr>
      <w:r w:rsidRPr="00232131">
        <w:rPr>
          <w:rFonts w:ascii="Arial" w:hAnsi="Arial" w:cs="Arial"/>
          <w:color w:val="000000" w:themeColor="text1"/>
        </w:rPr>
        <w:t>Algoritmi genetici</w:t>
      </w:r>
    </w:p>
    <w:p w14:paraId="4507DAC4" w14:textId="77777777" w:rsidR="002A5A34" w:rsidRDefault="002A5A34" w:rsidP="002A5A34">
      <w:pPr>
        <w:pStyle w:val="Paragrafoelenco"/>
        <w:autoSpaceDE w:val="0"/>
        <w:autoSpaceDN w:val="0"/>
        <w:adjustRightInd w:val="0"/>
        <w:rPr>
          <w:rFonts w:ascii="Arial" w:hAnsi="Arial" w:cs="Arial"/>
          <w:color w:val="000000" w:themeColor="text1"/>
        </w:rPr>
      </w:pPr>
    </w:p>
    <w:p w14:paraId="2B925017" w14:textId="77777777" w:rsidR="00E40172" w:rsidRDefault="002A5A34" w:rsidP="002A5A34">
      <w:pPr>
        <w:tabs>
          <w:tab w:val="left" w:pos="947"/>
        </w:tabs>
        <w:jc w:val="both"/>
        <w:rPr>
          <w:rFonts w:ascii="Futura-Bold" w:hAnsi="Futura-Bold" w:cs="Futura-Bold"/>
          <w:b/>
          <w:bCs/>
          <w:color w:val="1D1D1B"/>
          <w:kern w:val="0"/>
          <w:sz w:val="20"/>
          <w:szCs w:val="20"/>
        </w:rPr>
      </w:pPr>
      <w:r w:rsidRPr="00E40172">
        <w:rPr>
          <w:rFonts w:ascii="Arial" w:hAnsi="Arial" w:cs="Arial"/>
          <w:b/>
          <w:color w:val="000000" w:themeColor="text1"/>
        </w:rPr>
        <w:t>Attività laboratoriale sull’applicazione di algoritmi evolutivi ad un caso studio</w:t>
      </w:r>
      <w:r w:rsidRPr="00E40172">
        <w:rPr>
          <w:rFonts w:ascii="Futura-Bold" w:hAnsi="Futura-Bold" w:cs="Futura-Bold"/>
          <w:b/>
          <w:bCs/>
          <w:color w:val="1D1D1B"/>
          <w:kern w:val="0"/>
          <w:sz w:val="20"/>
          <w:szCs w:val="20"/>
        </w:rPr>
        <w:t xml:space="preserve"> </w:t>
      </w:r>
    </w:p>
    <w:p w14:paraId="648EF9F0" w14:textId="2717462B" w:rsidR="002A5A34" w:rsidRPr="002A5A34" w:rsidRDefault="002A5A34" w:rsidP="002A5A34">
      <w:pPr>
        <w:tabs>
          <w:tab w:val="left" w:pos="947"/>
        </w:tabs>
        <w:jc w:val="both"/>
        <w:rPr>
          <w:rFonts w:ascii="Arial" w:hAnsi="Arial" w:cs="Arial"/>
          <w:color w:val="000000" w:themeColor="text1"/>
        </w:rPr>
      </w:pPr>
      <w:r w:rsidRPr="00E40172">
        <w:rPr>
          <w:rFonts w:ascii="Arial" w:hAnsi="Arial" w:cs="Arial"/>
          <w:color w:val="000000" w:themeColor="text1"/>
        </w:rPr>
        <w:t>(</w:t>
      </w:r>
      <w:r w:rsidR="00E40172">
        <w:rPr>
          <w:rFonts w:ascii="Arial" w:hAnsi="Arial" w:cs="Arial"/>
          <w:color w:val="000000" w:themeColor="text1"/>
        </w:rPr>
        <w:t xml:space="preserve">Paola Marrone, Stefano Panzieri, Ilaria Montella, </w:t>
      </w:r>
      <w:r w:rsidRPr="00E40172">
        <w:rPr>
          <w:rFonts w:ascii="Arial" w:hAnsi="Arial" w:cs="Arial"/>
          <w:color w:val="000000" w:themeColor="text1"/>
        </w:rPr>
        <w:t>Chiara Foglietta)</w:t>
      </w:r>
    </w:p>
    <w:p w14:paraId="5E5F4061" w14:textId="77777777" w:rsidR="0012045F" w:rsidRPr="00B35C19" w:rsidRDefault="0012045F" w:rsidP="0012045F">
      <w:pPr>
        <w:jc w:val="both"/>
        <w:rPr>
          <w:rFonts w:ascii="Arial" w:hAnsi="Arial" w:cs="Arial"/>
          <w:b/>
          <w:bCs/>
          <w:color w:val="000000" w:themeColor="text1"/>
        </w:rPr>
      </w:pPr>
    </w:p>
    <w:p w14:paraId="0735C33A" w14:textId="77777777" w:rsidR="0012045F" w:rsidRPr="009C6573" w:rsidRDefault="0012045F" w:rsidP="0012045F">
      <w:pPr>
        <w:jc w:val="both"/>
        <w:rPr>
          <w:rFonts w:ascii="Arial" w:hAnsi="Arial" w:cs="Arial"/>
          <w:b/>
          <w:bCs/>
          <w:color w:val="0070C0"/>
        </w:rPr>
      </w:pPr>
      <w:r w:rsidRPr="009C6573">
        <w:rPr>
          <w:rFonts w:ascii="Arial" w:hAnsi="Arial" w:cs="Arial"/>
          <w:b/>
          <w:bCs/>
          <w:color w:val="0070C0"/>
        </w:rPr>
        <w:t>PAROLE CHIAVE</w:t>
      </w:r>
    </w:p>
    <w:p w14:paraId="7442CEAB" w14:textId="7826FE70" w:rsidR="0012045F" w:rsidRPr="00232131" w:rsidRDefault="00232131" w:rsidP="0012045F">
      <w:pPr>
        <w:jc w:val="both"/>
        <w:rPr>
          <w:rFonts w:ascii="Arial" w:hAnsi="Arial" w:cs="Arial"/>
          <w:color w:val="000000" w:themeColor="text1"/>
        </w:rPr>
      </w:pPr>
      <w:r w:rsidRPr="00232131">
        <w:rPr>
          <w:rFonts w:ascii="Arial" w:hAnsi="Arial" w:cs="Arial"/>
          <w:color w:val="000000" w:themeColor="text1"/>
        </w:rPr>
        <w:t>Utenti, edifici città e consumi energetici, Comunità energetiche, fonti rinnovabili, ottimizzazione dei consumi, analisi del rischio</w:t>
      </w:r>
    </w:p>
    <w:p w14:paraId="0AFC1317" w14:textId="77777777" w:rsidR="00232131" w:rsidRPr="00B35C19" w:rsidRDefault="00232131" w:rsidP="0012045F">
      <w:pPr>
        <w:jc w:val="both"/>
        <w:rPr>
          <w:rFonts w:ascii="Arial" w:hAnsi="Arial" w:cs="Arial"/>
          <w:b/>
          <w:bCs/>
          <w:color w:val="000000" w:themeColor="text1"/>
        </w:rPr>
      </w:pPr>
    </w:p>
    <w:p w14:paraId="41FF71FA" w14:textId="77777777" w:rsidR="0012045F" w:rsidRPr="009C6573" w:rsidRDefault="0012045F" w:rsidP="0012045F">
      <w:pPr>
        <w:jc w:val="both"/>
        <w:rPr>
          <w:rFonts w:ascii="Arial" w:hAnsi="Arial" w:cs="Arial"/>
          <w:color w:val="0070C0"/>
        </w:rPr>
      </w:pPr>
      <w:r w:rsidRPr="009C6573">
        <w:rPr>
          <w:rFonts w:ascii="Arial" w:hAnsi="Arial" w:cs="Arial"/>
          <w:b/>
          <w:bCs/>
          <w:color w:val="0070C0"/>
        </w:rPr>
        <w:t>PROJECT-WORK E LAVORO ATTESO</w:t>
      </w:r>
    </w:p>
    <w:p w14:paraId="2E6FF84B" w14:textId="758069D2" w:rsidR="00232131" w:rsidRDefault="00C551D8" w:rsidP="002A5A34">
      <w:pPr>
        <w:autoSpaceDE w:val="0"/>
        <w:autoSpaceDN w:val="0"/>
        <w:adjustRightInd w:val="0"/>
        <w:jc w:val="both"/>
        <w:rPr>
          <w:rFonts w:ascii="Arial" w:hAnsi="Arial" w:cs="Arial"/>
          <w:color w:val="000000" w:themeColor="text1"/>
        </w:rPr>
      </w:pPr>
      <w:r>
        <w:rPr>
          <w:rFonts w:ascii="Arial" w:hAnsi="Arial" w:cs="Arial"/>
          <w:color w:val="000000" w:themeColor="text1"/>
        </w:rPr>
        <w:t>A</w:t>
      </w:r>
      <w:r w:rsidR="00933DD7">
        <w:rPr>
          <w:rFonts w:ascii="Arial" w:hAnsi="Arial" w:cs="Arial"/>
          <w:color w:val="000000" w:themeColor="text1"/>
        </w:rPr>
        <w:t xml:space="preserve"> partire dall’a</w:t>
      </w:r>
      <w:r>
        <w:rPr>
          <w:rFonts w:ascii="Arial" w:hAnsi="Arial" w:cs="Arial"/>
          <w:color w:val="000000" w:themeColor="text1"/>
        </w:rPr>
        <w:t xml:space="preserve">nalisi </w:t>
      </w:r>
      <w:r w:rsidR="00933DD7">
        <w:rPr>
          <w:rFonts w:ascii="Arial" w:hAnsi="Arial" w:cs="Arial"/>
          <w:color w:val="000000" w:themeColor="text1"/>
        </w:rPr>
        <w:t>del caso di studio (</w:t>
      </w:r>
      <w:r>
        <w:rPr>
          <w:rFonts w:ascii="Arial" w:hAnsi="Arial" w:cs="Arial"/>
          <w:color w:val="000000" w:themeColor="text1"/>
        </w:rPr>
        <w:t>popolazione presente</w:t>
      </w:r>
      <w:r w:rsidR="00933DD7">
        <w:rPr>
          <w:rFonts w:ascii="Arial" w:hAnsi="Arial" w:cs="Arial"/>
          <w:color w:val="000000" w:themeColor="text1"/>
        </w:rPr>
        <w:t xml:space="preserve">, </w:t>
      </w:r>
      <w:r w:rsidR="003B5C28">
        <w:rPr>
          <w:rFonts w:ascii="Arial" w:hAnsi="Arial" w:cs="Arial"/>
          <w:color w:val="000000" w:themeColor="text1"/>
        </w:rPr>
        <w:t xml:space="preserve">ipotesi di </w:t>
      </w:r>
      <w:r>
        <w:rPr>
          <w:rFonts w:ascii="Arial" w:hAnsi="Arial" w:cs="Arial"/>
          <w:color w:val="000000" w:themeColor="text1"/>
        </w:rPr>
        <w:t>profilazione delle utenze “tipo” per l’individuazione dei profili di consumo</w:t>
      </w:r>
      <w:r w:rsidR="00933DD7">
        <w:rPr>
          <w:rFonts w:ascii="Arial" w:hAnsi="Arial" w:cs="Arial"/>
          <w:color w:val="000000" w:themeColor="text1"/>
        </w:rPr>
        <w:t xml:space="preserve">, rapporto tra consumi e </w:t>
      </w:r>
      <w:r w:rsidR="00232131" w:rsidRPr="00232131">
        <w:rPr>
          <w:rFonts w:ascii="Arial" w:hAnsi="Arial" w:cs="Arial"/>
          <w:color w:val="000000" w:themeColor="text1"/>
        </w:rPr>
        <w:t>capacità di produzione locale del quartiere</w:t>
      </w:r>
      <w:r w:rsidR="00933DD7">
        <w:rPr>
          <w:rFonts w:ascii="Arial" w:hAnsi="Arial" w:cs="Arial"/>
          <w:color w:val="000000" w:themeColor="text1"/>
        </w:rPr>
        <w:t>) sarà sviluppata</w:t>
      </w:r>
      <w:r w:rsidR="00232131">
        <w:rPr>
          <w:rFonts w:ascii="Arial" w:hAnsi="Arial" w:cs="Arial"/>
          <w:color w:val="000000" w:themeColor="text1"/>
        </w:rPr>
        <w:t xml:space="preserve"> una ipotesi di </w:t>
      </w:r>
      <w:r w:rsidR="00232131" w:rsidRPr="00232131">
        <w:rPr>
          <w:rFonts w:ascii="Arial" w:hAnsi="Arial" w:cs="Arial"/>
          <w:color w:val="000000" w:themeColor="text1"/>
        </w:rPr>
        <w:t>comunità energetica</w:t>
      </w:r>
      <w:r w:rsidR="00933DD7">
        <w:rPr>
          <w:rFonts w:ascii="Arial" w:hAnsi="Arial" w:cs="Arial"/>
          <w:color w:val="000000" w:themeColor="text1"/>
        </w:rPr>
        <w:t xml:space="preserve">, studiando, attraverso </w:t>
      </w:r>
      <w:r w:rsidR="002A5A34">
        <w:rPr>
          <w:rFonts w:ascii="Arial" w:hAnsi="Arial" w:cs="Arial"/>
          <w:color w:val="000000" w:themeColor="text1"/>
        </w:rPr>
        <w:t xml:space="preserve">un algoritmo di </w:t>
      </w:r>
      <w:r w:rsidR="00232131" w:rsidRPr="00232131">
        <w:rPr>
          <w:rFonts w:ascii="Arial" w:hAnsi="Arial" w:cs="Arial"/>
          <w:color w:val="000000" w:themeColor="text1"/>
        </w:rPr>
        <w:t>ottimizzazione</w:t>
      </w:r>
      <w:r w:rsidR="00933DD7">
        <w:rPr>
          <w:rFonts w:ascii="Arial" w:hAnsi="Arial" w:cs="Arial"/>
          <w:color w:val="000000" w:themeColor="text1"/>
        </w:rPr>
        <w:t xml:space="preserve">, </w:t>
      </w:r>
      <w:r w:rsidR="00933DD7" w:rsidRPr="00232131">
        <w:rPr>
          <w:rFonts w:ascii="Arial" w:hAnsi="Arial" w:cs="Arial"/>
          <w:color w:val="000000" w:themeColor="text1"/>
        </w:rPr>
        <w:t>l’implementazione</w:t>
      </w:r>
      <w:r w:rsidR="00232131" w:rsidRPr="00232131">
        <w:rPr>
          <w:rFonts w:ascii="Arial" w:hAnsi="Arial" w:cs="Arial"/>
          <w:color w:val="000000" w:themeColor="text1"/>
        </w:rPr>
        <w:t xml:space="preserve"> di un meccanismo di “active demand”</w:t>
      </w:r>
      <w:r w:rsidR="00232131">
        <w:rPr>
          <w:rFonts w:ascii="Arial" w:hAnsi="Arial" w:cs="Arial"/>
          <w:color w:val="000000" w:themeColor="text1"/>
        </w:rPr>
        <w:t xml:space="preserve"> </w:t>
      </w:r>
      <w:r w:rsidR="00232131" w:rsidRPr="00232131">
        <w:rPr>
          <w:rFonts w:ascii="Arial" w:hAnsi="Arial" w:cs="Arial"/>
          <w:color w:val="000000" w:themeColor="text1"/>
        </w:rPr>
        <w:t xml:space="preserve">locale. </w:t>
      </w:r>
    </w:p>
    <w:p w14:paraId="559D3CAE" w14:textId="18952679" w:rsidR="00232131" w:rsidRPr="00232131" w:rsidRDefault="00232131" w:rsidP="00232131">
      <w:pPr>
        <w:autoSpaceDE w:val="0"/>
        <w:autoSpaceDN w:val="0"/>
        <w:adjustRightInd w:val="0"/>
        <w:rPr>
          <w:rFonts w:ascii="Arial" w:hAnsi="Arial" w:cs="Arial"/>
          <w:color w:val="000000" w:themeColor="text1"/>
        </w:rPr>
      </w:pPr>
      <w:r w:rsidRPr="00232131">
        <w:rPr>
          <w:rFonts w:ascii="Arial" w:hAnsi="Arial" w:cs="Arial"/>
          <w:color w:val="000000" w:themeColor="text1"/>
        </w:rPr>
        <w:t>In particolare, il project work si svilupperà attraverso:</w:t>
      </w:r>
    </w:p>
    <w:p w14:paraId="0C2DC737" w14:textId="216792EA" w:rsidR="00232131" w:rsidRPr="00232131" w:rsidRDefault="00232131" w:rsidP="00232131">
      <w:pPr>
        <w:autoSpaceDE w:val="0"/>
        <w:autoSpaceDN w:val="0"/>
        <w:adjustRightInd w:val="0"/>
        <w:rPr>
          <w:rFonts w:ascii="Arial" w:hAnsi="Arial" w:cs="Arial"/>
          <w:color w:val="000000" w:themeColor="text1"/>
        </w:rPr>
      </w:pPr>
      <w:r w:rsidRPr="00232131">
        <w:rPr>
          <w:rFonts w:ascii="Arial" w:hAnsi="Arial" w:cs="Arial"/>
          <w:color w:val="000000" w:themeColor="text1"/>
        </w:rPr>
        <w:t xml:space="preserve">1. Analisi del quartiere </w:t>
      </w:r>
      <w:r w:rsidR="00933DD7">
        <w:rPr>
          <w:rFonts w:ascii="Arial" w:hAnsi="Arial" w:cs="Arial"/>
          <w:color w:val="000000" w:themeColor="text1"/>
        </w:rPr>
        <w:t>scelto come caso di studio (es. Testaccio).</w:t>
      </w:r>
    </w:p>
    <w:p w14:paraId="534040F3" w14:textId="1D7BE677" w:rsidR="00232131" w:rsidRPr="00232131" w:rsidRDefault="00232131" w:rsidP="00232131">
      <w:pPr>
        <w:autoSpaceDE w:val="0"/>
        <w:autoSpaceDN w:val="0"/>
        <w:adjustRightInd w:val="0"/>
        <w:rPr>
          <w:rFonts w:ascii="Arial" w:hAnsi="Arial" w:cs="Arial"/>
          <w:color w:val="000000" w:themeColor="text1"/>
        </w:rPr>
      </w:pPr>
      <w:r w:rsidRPr="00232131">
        <w:rPr>
          <w:rFonts w:ascii="Arial" w:hAnsi="Arial" w:cs="Arial"/>
          <w:color w:val="000000" w:themeColor="text1"/>
        </w:rPr>
        <w:lastRenderedPageBreak/>
        <w:t>2. Analisi dei consumi e possibilità produttive</w:t>
      </w:r>
      <w:r w:rsidR="00933DD7">
        <w:rPr>
          <w:rFonts w:ascii="Arial" w:hAnsi="Arial" w:cs="Arial"/>
          <w:color w:val="000000" w:themeColor="text1"/>
        </w:rPr>
        <w:t>.</w:t>
      </w:r>
    </w:p>
    <w:p w14:paraId="63089E6A" w14:textId="35451356" w:rsidR="00232131" w:rsidRPr="00232131" w:rsidRDefault="00232131" w:rsidP="00232131">
      <w:pPr>
        <w:autoSpaceDE w:val="0"/>
        <w:autoSpaceDN w:val="0"/>
        <w:adjustRightInd w:val="0"/>
        <w:rPr>
          <w:rFonts w:ascii="Arial" w:hAnsi="Arial" w:cs="Arial"/>
          <w:color w:val="000000" w:themeColor="text1"/>
        </w:rPr>
      </w:pPr>
      <w:r w:rsidRPr="00232131">
        <w:rPr>
          <w:rFonts w:ascii="Arial" w:hAnsi="Arial" w:cs="Arial"/>
          <w:color w:val="000000" w:themeColor="text1"/>
        </w:rPr>
        <w:t>3. Ipotesi sui consumi orari in riferimento a utenze tipo</w:t>
      </w:r>
      <w:r w:rsidR="00933DD7">
        <w:rPr>
          <w:rFonts w:ascii="Arial" w:hAnsi="Arial" w:cs="Arial"/>
          <w:color w:val="000000" w:themeColor="text1"/>
        </w:rPr>
        <w:t>.</w:t>
      </w:r>
    </w:p>
    <w:p w14:paraId="5CB2372D" w14:textId="3603953F" w:rsidR="00232131" w:rsidRPr="00232131" w:rsidRDefault="00232131" w:rsidP="00232131">
      <w:pPr>
        <w:autoSpaceDE w:val="0"/>
        <w:autoSpaceDN w:val="0"/>
        <w:adjustRightInd w:val="0"/>
        <w:rPr>
          <w:rFonts w:ascii="Arial" w:hAnsi="Arial" w:cs="Arial"/>
          <w:color w:val="000000" w:themeColor="text1"/>
        </w:rPr>
      </w:pPr>
      <w:r w:rsidRPr="00232131">
        <w:rPr>
          <w:rFonts w:ascii="Arial" w:hAnsi="Arial" w:cs="Arial"/>
          <w:color w:val="000000" w:themeColor="text1"/>
        </w:rPr>
        <w:t xml:space="preserve">4. Impostazione del problema di </w:t>
      </w:r>
      <w:r w:rsidRPr="00933DD7">
        <w:rPr>
          <w:rFonts w:ascii="Arial" w:hAnsi="Arial" w:cs="Arial"/>
          <w:i/>
          <w:iCs/>
          <w:color w:val="000000" w:themeColor="text1"/>
        </w:rPr>
        <w:t>active demand</w:t>
      </w:r>
      <w:r w:rsidRPr="00232131">
        <w:rPr>
          <w:rFonts w:ascii="Arial" w:hAnsi="Arial" w:cs="Arial"/>
          <w:color w:val="000000" w:themeColor="text1"/>
        </w:rPr>
        <w:t xml:space="preserve"> locale per </w:t>
      </w:r>
      <w:r w:rsidR="00933DD7" w:rsidRPr="00232131">
        <w:rPr>
          <w:rFonts w:ascii="Arial" w:hAnsi="Arial" w:cs="Arial"/>
          <w:color w:val="000000" w:themeColor="text1"/>
        </w:rPr>
        <w:t>l’autoconsumo</w:t>
      </w:r>
      <w:r w:rsidR="00933DD7">
        <w:rPr>
          <w:rFonts w:ascii="Arial" w:hAnsi="Arial" w:cs="Arial"/>
          <w:color w:val="000000" w:themeColor="text1"/>
        </w:rPr>
        <w:t>.</w:t>
      </w:r>
    </w:p>
    <w:p w14:paraId="3BFB9E0D" w14:textId="428164E8" w:rsidR="00232131" w:rsidRPr="00232131" w:rsidRDefault="00232131" w:rsidP="00232131">
      <w:pPr>
        <w:autoSpaceDE w:val="0"/>
        <w:autoSpaceDN w:val="0"/>
        <w:adjustRightInd w:val="0"/>
        <w:rPr>
          <w:rFonts w:ascii="Arial" w:hAnsi="Arial" w:cs="Arial"/>
          <w:color w:val="000000" w:themeColor="text1"/>
        </w:rPr>
      </w:pPr>
      <w:r w:rsidRPr="00232131">
        <w:rPr>
          <w:rFonts w:ascii="Arial" w:hAnsi="Arial" w:cs="Arial"/>
          <w:color w:val="000000" w:themeColor="text1"/>
        </w:rPr>
        <w:t xml:space="preserve">5. Programmazione </w:t>
      </w:r>
      <w:r w:rsidR="00933DD7" w:rsidRPr="00232131">
        <w:rPr>
          <w:rFonts w:ascii="Arial" w:hAnsi="Arial" w:cs="Arial"/>
          <w:color w:val="000000" w:themeColor="text1"/>
        </w:rPr>
        <w:t>dell’algoritmo</w:t>
      </w:r>
      <w:r w:rsidRPr="00232131">
        <w:rPr>
          <w:rFonts w:ascii="Arial" w:hAnsi="Arial" w:cs="Arial"/>
          <w:color w:val="000000" w:themeColor="text1"/>
        </w:rPr>
        <w:t xml:space="preserve"> evolutivo</w:t>
      </w:r>
      <w:r w:rsidR="00933DD7">
        <w:rPr>
          <w:rFonts w:ascii="Arial" w:hAnsi="Arial" w:cs="Arial"/>
          <w:color w:val="000000" w:themeColor="text1"/>
        </w:rPr>
        <w:t>.</w:t>
      </w:r>
    </w:p>
    <w:p w14:paraId="30A122A4" w14:textId="3EEB375C" w:rsidR="0012045F" w:rsidRDefault="00232131" w:rsidP="00232131">
      <w:pPr>
        <w:jc w:val="both"/>
        <w:rPr>
          <w:rFonts w:ascii="Arial" w:hAnsi="Arial" w:cs="Arial"/>
          <w:color w:val="000000" w:themeColor="text1"/>
        </w:rPr>
      </w:pPr>
      <w:r w:rsidRPr="00232131">
        <w:rPr>
          <w:rFonts w:ascii="Arial" w:hAnsi="Arial" w:cs="Arial"/>
          <w:color w:val="000000" w:themeColor="text1"/>
        </w:rPr>
        <w:t>6. Analisi delle soluzioni.</w:t>
      </w:r>
    </w:p>
    <w:p w14:paraId="60B787B5" w14:textId="77777777" w:rsidR="00232131" w:rsidRPr="00B35C19" w:rsidRDefault="00232131" w:rsidP="00232131">
      <w:pPr>
        <w:jc w:val="both"/>
        <w:rPr>
          <w:rFonts w:ascii="Arial" w:hAnsi="Arial" w:cs="Arial"/>
          <w:color w:val="000000" w:themeColor="text1"/>
        </w:rPr>
      </w:pPr>
    </w:p>
    <w:p w14:paraId="30BAC04D" w14:textId="77777777" w:rsidR="0012045F" w:rsidRPr="009C6573" w:rsidRDefault="0012045F" w:rsidP="0012045F">
      <w:pPr>
        <w:jc w:val="both"/>
        <w:rPr>
          <w:rFonts w:ascii="Arial" w:hAnsi="Arial" w:cs="Arial"/>
          <w:b/>
          <w:bCs/>
          <w:color w:val="0070C0"/>
        </w:rPr>
      </w:pPr>
      <w:r w:rsidRPr="009C6573">
        <w:rPr>
          <w:rFonts w:ascii="Arial" w:hAnsi="Arial" w:cs="Arial"/>
          <w:b/>
          <w:bCs/>
          <w:color w:val="0070C0"/>
        </w:rPr>
        <w:t>METODO D’INSEGNAMENTO</w:t>
      </w:r>
    </w:p>
    <w:p w14:paraId="7168D345" w14:textId="3AB30BEC" w:rsidR="0012045F" w:rsidRPr="00232131" w:rsidRDefault="00232131" w:rsidP="00232131">
      <w:pPr>
        <w:autoSpaceDE w:val="0"/>
        <w:autoSpaceDN w:val="0"/>
        <w:adjustRightInd w:val="0"/>
        <w:jc w:val="both"/>
        <w:rPr>
          <w:rFonts w:ascii="Arial" w:hAnsi="Arial" w:cs="Arial"/>
          <w:color w:val="000000" w:themeColor="text1"/>
        </w:rPr>
      </w:pPr>
      <w:r w:rsidRPr="00655019">
        <w:rPr>
          <w:rFonts w:ascii="Arial" w:hAnsi="Arial" w:cs="Arial"/>
          <w:color w:val="000000" w:themeColor="text1"/>
        </w:rPr>
        <w:t>Saranno svolte lezioni frontali e</w:t>
      </w:r>
      <w:r w:rsidR="002A5A34" w:rsidRPr="00655019">
        <w:rPr>
          <w:rFonts w:ascii="Arial" w:hAnsi="Arial" w:cs="Arial"/>
          <w:color w:val="000000" w:themeColor="text1"/>
        </w:rPr>
        <w:t>, nella parte conclusiva,</w:t>
      </w:r>
      <w:r w:rsidRPr="00655019">
        <w:rPr>
          <w:rFonts w:ascii="Arial" w:hAnsi="Arial" w:cs="Arial"/>
          <w:color w:val="000000" w:themeColor="text1"/>
        </w:rPr>
        <w:t xml:space="preserve"> sarà </w:t>
      </w:r>
      <w:r w:rsidR="002A5A34" w:rsidRPr="00655019">
        <w:rPr>
          <w:rFonts w:ascii="Arial" w:hAnsi="Arial" w:cs="Arial"/>
          <w:color w:val="000000" w:themeColor="text1"/>
        </w:rPr>
        <w:t>fatta un’attività laboratoriale per l’applicazione pratica di algoritmi evolutivi ad un caso studio. I</w:t>
      </w:r>
      <w:r w:rsidRPr="00655019">
        <w:rPr>
          <w:rFonts w:ascii="Arial" w:hAnsi="Arial" w:cs="Arial"/>
          <w:color w:val="000000" w:themeColor="text1"/>
        </w:rPr>
        <w:t xml:space="preserve"> gruppi di lavoro potranno sviluppare soluzioni ad-hoc per il problema proposto.</w:t>
      </w:r>
    </w:p>
    <w:p w14:paraId="5A82B695" w14:textId="77777777" w:rsidR="00232131" w:rsidRPr="00232131" w:rsidRDefault="00232131" w:rsidP="00232131">
      <w:pPr>
        <w:autoSpaceDE w:val="0"/>
        <w:autoSpaceDN w:val="0"/>
        <w:adjustRightInd w:val="0"/>
        <w:rPr>
          <w:rFonts w:ascii="Futura-Medium" w:hAnsi="Futura-Medium" w:cs="Futura-Medium"/>
          <w:color w:val="595957"/>
          <w:kern w:val="0"/>
          <w:sz w:val="20"/>
          <w:szCs w:val="20"/>
        </w:rPr>
      </w:pPr>
    </w:p>
    <w:p w14:paraId="5D7DF56D" w14:textId="77777777" w:rsidR="0012045F" w:rsidRPr="009C6573" w:rsidRDefault="0012045F" w:rsidP="0012045F">
      <w:pPr>
        <w:jc w:val="both"/>
        <w:rPr>
          <w:rFonts w:ascii="Arial" w:hAnsi="Arial" w:cs="Arial"/>
          <w:b/>
          <w:bCs/>
          <w:color w:val="0070C0"/>
        </w:rPr>
      </w:pPr>
      <w:r w:rsidRPr="009C6573">
        <w:rPr>
          <w:rFonts w:ascii="Arial" w:hAnsi="Arial" w:cs="Arial"/>
          <w:b/>
          <w:bCs/>
          <w:color w:val="0070C0"/>
        </w:rPr>
        <w:t xml:space="preserve">RISULTATI DI APPRENDIMENTO PREVISTI </w:t>
      </w:r>
    </w:p>
    <w:p w14:paraId="7C8332D2" w14:textId="68B8CFDC" w:rsidR="0012045F" w:rsidRPr="00232131" w:rsidRDefault="00232131" w:rsidP="00232131">
      <w:pPr>
        <w:autoSpaceDE w:val="0"/>
        <w:autoSpaceDN w:val="0"/>
        <w:adjustRightInd w:val="0"/>
        <w:jc w:val="both"/>
        <w:rPr>
          <w:rFonts w:ascii="Arial" w:hAnsi="Arial" w:cs="Arial"/>
          <w:color w:val="000000" w:themeColor="text1"/>
        </w:rPr>
      </w:pPr>
      <w:r w:rsidRPr="00232131">
        <w:rPr>
          <w:rFonts w:ascii="Arial" w:hAnsi="Arial" w:cs="Arial"/>
          <w:color w:val="000000" w:themeColor="text1"/>
        </w:rPr>
        <w:t xml:space="preserve">Alla fine del corso gli studenti avranno consapevolezza anche quantitativa dei consumi di un cluster di edifici e della capacità generativa di </w:t>
      </w:r>
      <w:r w:rsidR="00933DD7" w:rsidRPr="00232131">
        <w:rPr>
          <w:rFonts w:ascii="Arial" w:hAnsi="Arial" w:cs="Arial"/>
          <w:color w:val="000000" w:themeColor="text1"/>
        </w:rPr>
        <w:t>un’area</w:t>
      </w:r>
      <w:r w:rsidRPr="00232131">
        <w:rPr>
          <w:rFonts w:ascii="Arial" w:hAnsi="Arial" w:cs="Arial"/>
          <w:color w:val="000000" w:themeColor="text1"/>
        </w:rPr>
        <w:t xml:space="preserve"> urbana. Saranno in grado di comprendere un sistema di </w:t>
      </w:r>
      <w:r w:rsidRPr="00232131">
        <w:rPr>
          <w:rFonts w:ascii="Arial" w:hAnsi="Arial" w:cs="Arial"/>
          <w:i/>
          <w:color w:val="000000" w:themeColor="text1"/>
        </w:rPr>
        <w:t>active demand</w:t>
      </w:r>
      <w:r w:rsidRPr="00232131">
        <w:rPr>
          <w:rFonts w:ascii="Arial" w:hAnsi="Arial" w:cs="Arial"/>
          <w:color w:val="000000" w:themeColor="text1"/>
        </w:rPr>
        <w:t xml:space="preserve"> e saranno in grado di programmare un semplice algoritmo di ottimizzazione evolutiva. Per le competenze trasversali lavoreranno in gruppo acquisendo la capacità di relazionarsi anche con colleghi in possesso di conoscenze molto differenti al fine di risolvere un problema complesso tramite ascolto e ragionamento collettivo.</w:t>
      </w:r>
    </w:p>
    <w:p w14:paraId="29EA4E65" w14:textId="77777777" w:rsidR="00232131" w:rsidRPr="00B35C19" w:rsidRDefault="00232131" w:rsidP="00232131">
      <w:pPr>
        <w:jc w:val="both"/>
        <w:rPr>
          <w:rFonts w:ascii="Arial" w:hAnsi="Arial" w:cs="Arial"/>
          <w:color w:val="000000" w:themeColor="text1"/>
        </w:rPr>
      </w:pPr>
    </w:p>
    <w:p w14:paraId="50418CE9" w14:textId="77777777" w:rsidR="0012045F" w:rsidRPr="009C6573" w:rsidRDefault="0012045F" w:rsidP="0012045F">
      <w:pPr>
        <w:jc w:val="both"/>
        <w:rPr>
          <w:rFonts w:ascii="Arial" w:hAnsi="Arial" w:cs="Arial"/>
          <w:b/>
          <w:bCs/>
          <w:color w:val="0070C0"/>
        </w:rPr>
      </w:pPr>
      <w:r w:rsidRPr="009C6573">
        <w:rPr>
          <w:rFonts w:ascii="Arial" w:hAnsi="Arial" w:cs="Arial"/>
          <w:b/>
          <w:bCs/>
          <w:color w:val="0070C0"/>
        </w:rPr>
        <w:t>CRITERI DI VALUTAZIONE</w:t>
      </w:r>
    </w:p>
    <w:p w14:paraId="7121E729" w14:textId="69F3CEE7" w:rsidR="0012045F" w:rsidRDefault="00232131" w:rsidP="0012045F">
      <w:pPr>
        <w:jc w:val="both"/>
        <w:rPr>
          <w:rFonts w:ascii="Futura-Medium" w:hAnsi="Futura-Medium" w:cs="Futura-Medium"/>
          <w:color w:val="595957"/>
          <w:kern w:val="0"/>
          <w:sz w:val="20"/>
          <w:szCs w:val="20"/>
        </w:rPr>
      </w:pPr>
      <w:r w:rsidRPr="00655019">
        <w:rPr>
          <w:rFonts w:ascii="Arial" w:hAnsi="Arial" w:cs="Arial"/>
          <w:color w:val="000000" w:themeColor="text1"/>
        </w:rPr>
        <w:t xml:space="preserve">I risultati </w:t>
      </w:r>
      <w:r w:rsidR="002A5A34" w:rsidRPr="00655019">
        <w:rPr>
          <w:rFonts w:ascii="Arial" w:hAnsi="Arial" w:cs="Arial"/>
          <w:color w:val="000000" w:themeColor="text1"/>
        </w:rPr>
        <w:t>dell’applicazione laboratoriale</w:t>
      </w:r>
      <w:r w:rsidRPr="00655019">
        <w:rPr>
          <w:rFonts w:ascii="Arial" w:hAnsi="Arial" w:cs="Arial"/>
          <w:color w:val="000000" w:themeColor="text1"/>
        </w:rPr>
        <w:t xml:space="preserve"> saranno discussi collettivamente e verranno valutati gli incrementi di competenza.</w:t>
      </w:r>
      <w:r w:rsidR="002A5A34" w:rsidRPr="00655019">
        <w:rPr>
          <w:rFonts w:ascii="Arial" w:hAnsi="Arial" w:cs="Arial"/>
          <w:color w:val="000000" w:themeColor="text1"/>
        </w:rPr>
        <w:t xml:space="preserve"> Sarà inoltre svolto un test a risposta multipla per valutare le competenze acquisite.</w:t>
      </w:r>
    </w:p>
    <w:p w14:paraId="4C79A0F8" w14:textId="77777777" w:rsidR="00232131" w:rsidRPr="00B35C19" w:rsidRDefault="00232131" w:rsidP="0012045F">
      <w:pPr>
        <w:jc w:val="both"/>
        <w:rPr>
          <w:rFonts w:ascii="Arial" w:hAnsi="Arial" w:cs="Arial"/>
          <w:color w:val="000000" w:themeColor="text1"/>
        </w:rPr>
      </w:pPr>
    </w:p>
    <w:p w14:paraId="3CAE078E" w14:textId="77777777" w:rsidR="0012045F" w:rsidRPr="009C6573" w:rsidRDefault="0012045F" w:rsidP="0012045F">
      <w:pPr>
        <w:jc w:val="both"/>
        <w:rPr>
          <w:rFonts w:ascii="Arial" w:hAnsi="Arial" w:cs="Arial"/>
          <w:b/>
          <w:bCs/>
          <w:color w:val="0070C0"/>
        </w:rPr>
      </w:pPr>
      <w:r w:rsidRPr="009C6573">
        <w:rPr>
          <w:rFonts w:ascii="Arial" w:hAnsi="Arial" w:cs="Arial"/>
          <w:b/>
          <w:bCs/>
          <w:color w:val="0070C0"/>
        </w:rPr>
        <w:t xml:space="preserve">RISORSE </w:t>
      </w:r>
    </w:p>
    <w:p w14:paraId="71B646CA" w14:textId="77777777" w:rsidR="00232131" w:rsidRPr="00232131" w:rsidRDefault="00232131" w:rsidP="00232131">
      <w:pPr>
        <w:autoSpaceDE w:val="0"/>
        <w:autoSpaceDN w:val="0"/>
        <w:adjustRightInd w:val="0"/>
        <w:jc w:val="both"/>
        <w:rPr>
          <w:rFonts w:ascii="Arial" w:hAnsi="Arial" w:cs="Arial"/>
          <w:b/>
          <w:kern w:val="0"/>
        </w:rPr>
      </w:pPr>
      <w:r w:rsidRPr="00232131">
        <w:rPr>
          <w:rFonts w:ascii="Arial" w:hAnsi="Arial" w:cs="Arial"/>
          <w:b/>
          <w:kern w:val="0"/>
        </w:rPr>
        <w:t>Normative di riferimento</w:t>
      </w:r>
    </w:p>
    <w:p w14:paraId="78F89DD7" w14:textId="6E32FC64" w:rsidR="00232131" w:rsidRPr="00232131" w:rsidRDefault="00232131" w:rsidP="00232131">
      <w:pPr>
        <w:autoSpaceDE w:val="0"/>
        <w:autoSpaceDN w:val="0"/>
        <w:adjustRightInd w:val="0"/>
        <w:jc w:val="both"/>
        <w:rPr>
          <w:rFonts w:ascii="Arial" w:hAnsi="Arial" w:cs="Arial"/>
          <w:kern w:val="0"/>
        </w:rPr>
      </w:pPr>
      <w:r w:rsidRPr="00232131">
        <w:rPr>
          <w:rFonts w:ascii="Arial" w:hAnsi="Arial" w:cs="Arial"/>
          <w:kern w:val="0"/>
        </w:rPr>
        <w:t>Agenda 20</w:t>
      </w:r>
      <w:r>
        <w:rPr>
          <w:rFonts w:ascii="Arial" w:hAnsi="Arial" w:cs="Arial"/>
          <w:kern w:val="0"/>
        </w:rPr>
        <w:t xml:space="preserve">30 Goal 12 punto 2 Energia, </w:t>
      </w:r>
      <w:r w:rsidRPr="00232131">
        <w:rPr>
          <w:rFonts w:ascii="Arial" w:hAnsi="Arial" w:cs="Arial"/>
          <w:kern w:val="0"/>
        </w:rPr>
        <w:t>https://unric.org/it/obiettivo-12-garantire-modelli-sostenibili-di-produzione-e-di-consumo/</w:t>
      </w:r>
    </w:p>
    <w:p w14:paraId="382C37BB" w14:textId="62D60A29" w:rsidR="00232131" w:rsidRDefault="00232131" w:rsidP="00232131">
      <w:pPr>
        <w:autoSpaceDE w:val="0"/>
        <w:autoSpaceDN w:val="0"/>
        <w:adjustRightInd w:val="0"/>
        <w:jc w:val="both"/>
        <w:rPr>
          <w:rFonts w:ascii="Arial" w:hAnsi="Arial" w:cs="Arial"/>
          <w:kern w:val="0"/>
        </w:rPr>
      </w:pPr>
      <w:r w:rsidRPr="00232131">
        <w:rPr>
          <w:rFonts w:ascii="Arial" w:hAnsi="Arial" w:cs="Arial"/>
          <w:kern w:val="0"/>
        </w:rPr>
        <w:t xml:space="preserve">Decreto n° 414, 7 Dicembre 2023, approvato il 23 Gennaio 2024 dal MASE – Ministero </w:t>
      </w:r>
      <w:r>
        <w:rPr>
          <w:rFonts w:ascii="Arial" w:hAnsi="Arial" w:cs="Arial"/>
          <w:kern w:val="0"/>
        </w:rPr>
        <w:t xml:space="preserve">dellʼAmbiente e della Sicurezza </w:t>
      </w:r>
      <w:r w:rsidRPr="00232131">
        <w:rPr>
          <w:rFonts w:ascii="Arial" w:hAnsi="Arial" w:cs="Arial"/>
          <w:kern w:val="0"/>
        </w:rPr>
        <w:t xml:space="preserve">Energetica per </w:t>
      </w:r>
      <w:r w:rsidR="00933DD7" w:rsidRPr="00232131">
        <w:rPr>
          <w:rFonts w:ascii="Arial" w:hAnsi="Arial" w:cs="Arial"/>
          <w:kern w:val="0"/>
        </w:rPr>
        <w:t>l’incentivazione</w:t>
      </w:r>
      <w:r w:rsidRPr="00232131">
        <w:rPr>
          <w:rFonts w:ascii="Arial" w:hAnsi="Arial" w:cs="Arial"/>
          <w:kern w:val="0"/>
        </w:rPr>
        <w:t xml:space="preserve"> alla diffusione </w:t>
      </w:r>
      <w:r w:rsidR="00933DD7" w:rsidRPr="00232131">
        <w:rPr>
          <w:rFonts w:ascii="Arial" w:hAnsi="Arial" w:cs="Arial"/>
          <w:kern w:val="0"/>
        </w:rPr>
        <w:t>dell’autoconsumo</w:t>
      </w:r>
      <w:r w:rsidRPr="00232131">
        <w:rPr>
          <w:rFonts w:ascii="Arial" w:hAnsi="Arial" w:cs="Arial"/>
          <w:kern w:val="0"/>
        </w:rPr>
        <w:t xml:space="preserve"> d</w:t>
      </w:r>
      <w:r>
        <w:rPr>
          <w:rFonts w:ascii="Arial" w:hAnsi="Arial" w:cs="Arial"/>
          <w:kern w:val="0"/>
        </w:rPr>
        <w:t>i energia da fonti rinnovabili.</w:t>
      </w:r>
    </w:p>
    <w:p w14:paraId="4C9EE3F1" w14:textId="4FC0286A" w:rsidR="00232131" w:rsidRDefault="00232131" w:rsidP="00232131">
      <w:pPr>
        <w:autoSpaceDE w:val="0"/>
        <w:autoSpaceDN w:val="0"/>
        <w:adjustRightInd w:val="0"/>
        <w:rPr>
          <w:rFonts w:ascii="Arial" w:hAnsi="Arial" w:cs="Arial"/>
          <w:kern w:val="0"/>
        </w:rPr>
      </w:pPr>
      <w:r>
        <w:rPr>
          <w:rFonts w:ascii="Arial" w:hAnsi="Arial" w:cs="Arial"/>
          <w:kern w:val="0"/>
        </w:rPr>
        <w:t xml:space="preserve">D. Lgs. 8 novembre 2021 n. 199, </w:t>
      </w:r>
      <w:r w:rsidRPr="00232131">
        <w:rPr>
          <w:rFonts w:ascii="Arial" w:hAnsi="Arial" w:cs="Arial"/>
          <w:kern w:val="0"/>
        </w:rPr>
        <w:t>https://www.gazzettaufficiale.it/eli/id/2021/11/30/21G00214/sg</w:t>
      </w:r>
    </w:p>
    <w:p w14:paraId="069B61E1" w14:textId="77777777" w:rsidR="00232131" w:rsidRPr="00232131" w:rsidRDefault="00232131" w:rsidP="00232131">
      <w:pPr>
        <w:autoSpaceDE w:val="0"/>
        <w:autoSpaceDN w:val="0"/>
        <w:adjustRightInd w:val="0"/>
        <w:jc w:val="both"/>
        <w:rPr>
          <w:rFonts w:ascii="Arial" w:hAnsi="Arial" w:cs="Arial"/>
          <w:kern w:val="0"/>
        </w:rPr>
      </w:pPr>
      <w:r w:rsidRPr="00232131">
        <w:rPr>
          <w:rFonts w:ascii="Arial" w:hAnsi="Arial" w:cs="Arial"/>
          <w:kern w:val="0"/>
        </w:rPr>
        <w:t>Quadro di Sendai per la Riduzione del Rischio di Disastri 2015-2030</w:t>
      </w:r>
    </w:p>
    <w:p w14:paraId="1206B99A" w14:textId="77777777" w:rsidR="00232131" w:rsidRPr="00232131" w:rsidRDefault="00232131" w:rsidP="00232131">
      <w:pPr>
        <w:autoSpaceDE w:val="0"/>
        <w:autoSpaceDN w:val="0"/>
        <w:adjustRightInd w:val="0"/>
        <w:jc w:val="both"/>
        <w:rPr>
          <w:rFonts w:ascii="Arial" w:hAnsi="Arial" w:cs="Arial"/>
          <w:kern w:val="0"/>
        </w:rPr>
      </w:pPr>
      <w:r w:rsidRPr="00232131">
        <w:rPr>
          <w:rFonts w:ascii="Arial" w:hAnsi="Arial" w:cs="Arial"/>
          <w:kern w:val="0"/>
        </w:rPr>
        <w:t>https://www.protezionecivile.gov.it/it/approfondimento/il-quadro-di-riferimento-di-sendai--2015-2030-/</w:t>
      </w:r>
    </w:p>
    <w:p w14:paraId="270AF9A7" w14:textId="77777777" w:rsidR="00232131" w:rsidRPr="00232131" w:rsidRDefault="00232131" w:rsidP="00232131">
      <w:pPr>
        <w:autoSpaceDE w:val="0"/>
        <w:autoSpaceDN w:val="0"/>
        <w:adjustRightInd w:val="0"/>
        <w:jc w:val="both"/>
        <w:rPr>
          <w:rFonts w:ascii="Arial" w:hAnsi="Arial" w:cs="Arial"/>
          <w:kern w:val="0"/>
        </w:rPr>
      </w:pPr>
      <w:r w:rsidRPr="00232131">
        <w:rPr>
          <w:rFonts w:ascii="Arial" w:hAnsi="Arial" w:cs="Arial"/>
          <w:kern w:val="0"/>
        </w:rPr>
        <w:t>REPowerEU,</w:t>
      </w:r>
    </w:p>
    <w:p w14:paraId="6B1831B0" w14:textId="77777777" w:rsidR="00232131" w:rsidRPr="00232131" w:rsidRDefault="00232131" w:rsidP="00232131">
      <w:pPr>
        <w:autoSpaceDE w:val="0"/>
        <w:autoSpaceDN w:val="0"/>
        <w:adjustRightInd w:val="0"/>
        <w:jc w:val="both"/>
        <w:rPr>
          <w:rFonts w:ascii="Arial" w:hAnsi="Arial" w:cs="Arial"/>
          <w:kern w:val="0"/>
        </w:rPr>
      </w:pPr>
      <w:r w:rsidRPr="00232131">
        <w:rPr>
          <w:rFonts w:ascii="Arial" w:hAnsi="Arial" w:cs="Arial"/>
          <w:kern w:val="0"/>
        </w:rPr>
        <w:t>https://commission.europa.eu/strategy-and-policy/priorities-2019-2024/european-green-deal/repowereu-affordable-secure-andsustainable-</w:t>
      </w:r>
    </w:p>
    <w:p w14:paraId="1A372BB8" w14:textId="77777777" w:rsidR="00232131" w:rsidRPr="00933DD7" w:rsidRDefault="00232131" w:rsidP="00232131">
      <w:pPr>
        <w:autoSpaceDE w:val="0"/>
        <w:autoSpaceDN w:val="0"/>
        <w:adjustRightInd w:val="0"/>
        <w:jc w:val="both"/>
        <w:rPr>
          <w:rFonts w:ascii="Arial" w:hAnsi="Arial" w:cs="Arial"/>
          <w:kern w:val="0"/>
          <w:lang w:val="en-US"/>
        </w:rPr>
      </w:pPr>
      <w:r w:rsidRPr="00933DD7">
        <w:rPr>
          <w:rFonts w:ascii="Arial" w:hAnsi="Arial" w:cs="Arial"/>
          <w:kern w:val="0"/>
          <w:lang w:val="en-US"/>
        </w:rPr>
        <w:t>energy-europe_it</w:t>
      </w:r>
    </w:p>
    <w:p w14:paraId="00FD56A0" w14:textId="77777777" w:rsidR="00232131" w:rsidRPr="00933DD7" w:rsidRDefault="00232131" w:rsidP="00232131">
      <w:pPr>
        <w:autoSpaceDE w:val="0"/>
        <w:autoSpaceDN w:val="0"/>
        <w:adjustRightInd w:val="0"/>
        <w:jc w:val="both"/>
        <w:rPr>
          <w:rFonts w:ascii="Arial" w:hAnsi="Arial" w:cs="Arial"/>
          <w:b/>
          <w:kern w:val="0"/>
          <w:lang w:val="en-US"/>
        </w:rPr>
      </w:pPr>
    </w:p>
    <w:p w14:paraId="5194F235" w14:textId="77777777" w:rsidR="00232131" w:rsidRPr="00933DD7" w:rsidRDefault="00232131" w:rsidP="00232131">
      <w:pPr>
        <w:autoSpaceDE w:val="0"/>
        <w:autoSpaceDN w:val="0"/>
        <w:adjustRightInd w:val="0"/>
        <w:jc w:val="both"/>
        <w:rPr>
          <w:rFonts w:ascii="Arial" w:hAnsi="Arial" w:cs="Arial"/>
          <w:b/>
          <w:kern w:val="0"/>
          <w:lang w:val="en-US"/>
        </w:rPr>
      </w:pPr>
      <w:r w:rsidRPr="00933DD7">
        <w:rPr>
          <w:rFonts w:ascii="Arial" w:hAnsi="Arial" w:cs="Arial"/>
          <w:b/>
          <w:kern w:val="0"/>
          <w:lang w:val="en-US"/>
        </w:rPr>
        <w:t>Siti web e report</w:t>
      </w:r>
    </w:p>
    <w:p w14:paraId="5A1CB637" w14:textId="77777777" w:rsidR="00232131" w:rsidRPr="00933DD7" w:rsidRDefault="00232131" w:rsidP="00232131">
      <w:pPr>
        <w:autoSpaceDE w:val="0"/>
        <w:autoSpaceDN w:val="0"/>
        <w:adjustRightInd w:val="0"/>
        <w:jc w:val="both"/>
        <w:rPr>
          <w:rFonts w:ascii="Arial" w:hAnsi="Arial" w:cs="Arial"/>
          <w:kern w:val="0"/>
          <w:lang w:val="en-US"/>
        </w:rPr>
      </w:pPr>
      <w:r w:rsidRPr="00933DD7">
        <w:rPr>
          <w:rFonts w:ascii="Arial" w:hAnsi="Arial" w:cs="Arial"/>
          <w:kern w:val="0"/>
          <w:lang w:val="en-US"/>
        </w:rPr>
        <w:t>CER: https://ance.it/2024/01/decreto-cer-i-nuovi-incentivi-destinati-alla-crescita-energetica-rinnovabile/</w:t>
      </w:r>
    </w:p>
    <w:p w14:paraId="1A874974" w14:textId="77777777" w:rsidR="00232131" w:rsidRPr="003B5C28" w:rsidRDefault="00232131" w:rsidP="00232131">
      <w:pPr>
        <w:autoSpaceDE w:val="0"/>
        <w:autoSpaceDN w:val="0"/>
        <w:adjustRightInd w:val="0"/>
        <w:jc w:val="both"/>
        <w:rPr>
          <w:rFonts w:ascii="Arial" w:hAnsi="Arial" w:cs="Arial"/>
          <w:kern w:val="0"/>
        </w:rPr>
      </w:pPr>
      <w:r w:rsidRPr="003B5C28">
        <w:rPr>
          <w:rFonts w:ascii="Arial" w:hAnsi="Arial" w:cs="Arial"/>
          <w:kern w:val="0"/>
        </w:rPr>
        <w:t>Comunità energetiche:</w:t>
      </w:r>
    </w:p>
    <w:p w14:paraId="5319A914" w14:textId="2AE0AD69" w:rsidR="00232131" w:rsidRDefault="003B5C28" w:rsidP="00232131">
      <w:pPr>
        <w:autoSpaceDE w:val="0"/>
        <w:autoSpaceDN w:val="0"/>
        <w:adjustRightInd w:val="0"/>
        <w:jc w:val="both"/>
        <w:rPr>
          <w:rFonts w:ascii="Arial" w:hAnsi="Arial" w:cs="Arial"/>
          <w:kern w:val="0"/>
        </w:rPr>
      </w:pPr>
      <w:r w:rsidRPr="003B5C28">
        <w:rPr>
          <w:rFonts w:ascii="Arial" w:hAnsi="Arial" w:cs="Arial"/>
          <w:kern w:val="0"/>
        </w:rPr>
        <w:t>https://www.gse.it/media/comunicati/comunita-energetiche-sul-portale-gse-il-simulatore-per-valutare-la-convenienza</w:t>
      </w:r>
    </w:p>
    <w:p w14:paraId="44690ED3" w14:textId="0195F8EE" w:rsidR="003B5C28" w:rsidRPr="003B5C28" w:rsidRDefault="003B5C28" w:rsidP="003B5C28">
      <w:pPr>
        <w:autoSpaceDE w:val="0"/>
        <w:autoSpaceDN w:val="0"/>
        <w:adjustRightInd w:val="0"/>
        <w:jc w:val="both"/>
        <w:rPr>
          <w:rFonts w:ascii="Arial" w:hAnsi="Arial" w:cs="Arial"/>
          <w:kern w:val="0"/>
        </w:rPr>
      </w:pPr>
      <w:r w:rsidRPr="003B5C28">
        <w:rPr>
          <w:rFonts w:ascii="Arial" w:hAnsi="Arial" w:cs="Arial"/>
          <w:kern w:val="0"/>
        </w:rPr>
        <w:t>Legambiente, Report Comunità Rinnovabili 202</w:t>
      </w:r>
      <w:r>
        <w:rPr>
          <w:rFonts w:ascii="Arial" w:hAnsi="Arial" w:cs="Arial"/>
          <w:kern w:val="0"/>
        </w:rPr>
        <w:t>4</w:t>
      </w:r>
      <w:r w:rsidRPr="003B5C28">
        <w:rPr>
          <w:rFonts w:ascii="Arial" w:hAnsi="Arial" w:cs="Arial"/>
          <w:kern w:val="0"/>
        </w:rPr>
        <w:t xml:space="preserve"> (corpus casi studio sviluppati nel 202</w:t>
      </w:r>
      <w:r>
        <w:rPr>
          <w:rFonts w:ascii="Arial" w:hAnsi="Arial" w:cs="Arial"/>
          <w:kern w:val="0"/>
        </w:rPr>
        <w:t>4</w:t>
      </w:r>
      <w:r w:rsidRPr="003B5C28">
        <w:rPr>
          <w:rFonts w:ascii="Arial" w:hAnsi="Arial" w:cs="Arial"/>
          <w:kern w:val="0"/>
        </w:rPr>
        <w:t>),</w:t>
      </w:r>
    </w:p>
    <w:p w14:paraId="03337FF0" w14:textId="7E6FC25C" w:rsidR="003B5C28" w:rsidRPr="003B5C28" w:rsidRDefault="003B5C28" w:rsidP="00232131">
      <w:pPr>
        <w:autoSpaceDE w:val="0"/>
        <w:autoSpaceDN w:val="0"/>
        <w:adjustRightInd w:val="0"/>
        <w:jc w:val="both"/>
        <w:rPr>
          <w:rFonts w:ascii="Arial" w:hAnsi="Arial" w:cs="Arial"/>
          <w:kern w:val="0"/>
        </w:rPr>
      </w:pPr>
      <w:r w:rsidRPr="003B5C28">
        <w:rPr>
          <w:rFonts w:ascii="Arial" w:hAnsi="Arial" w:cs="Arial"/>
          <w:kern w:val="0"/>
        </w:rPr>
        <w:t>https://www.legambiente.it/wp-content/uploads/2021/11/Comuni-Rinnovabili-2024.pdf</w:t>
      </w:r>
    </w:p>
    <w:p w14:paraId="1A78381D" w14:textId="399741ED" w:rsidR="00232131" w:rsidRPr="003B5C28" w:rsidRDefault="00232131" w:rsidP="00232131">
      <w:pPr>
        <w:autoSpaceDE w:val="0"/>
        <w:autoSpaceDN w:val="0"/>
        <w:adjustRightInd w:val="0"/>
        <w:jc w:val="both"/>
        <w:rPr>
          <w:rFonts w:ascii="Arial" w:hAnsi="Arial" w:cs="Arial"/>
          <w:kern w:val="0"/>
        </w:rPr>
      </w:pPr>
      <w:r w:rsidRPr="003B5C28">
        <w:rPr>
          <w:rFonts w:ascii="Arial" w:hAnsi="Arial" w:cs="Arial"/>
          <w:kern w:val="0"/>
        </w:rPr>
        <w:t>Legambiente, Report Comunità Rinnovabili 2023</w:t>
      </w:r>
      <w:r w:rsidR="003B5C28" w:rsidRPr="003B5C28">
        <w:rPr>
          <w:rFonts w:ascii="Arial" w:hAnsi="Arial" w:cs="Arial"/>
          <w:kern w:val="0"/>
        </w:rPr>
        <w:t xml:space="preserve"> (corpus casi studio sviluppati nel 2023)</w:t>
      </w:r>
      <w:r w:rsidRPr="003B5C28">
        <w:rPr>
          <w:rFonts w:ascii="Arial" w:hAnsi="Arial" w:cs="Arial"/>
          <w:kern w:val="0"/>
        </w:rPr>
        <w:t>,</w:t>
      </w:r>
    </w:p>
    <w:p w14:paraId="110D6DD4" w14:textId="77777777" w:rsidR="00232131" w:rsidRPr="003B5C28" w:rsidRDefault="00232131" w:rsidP="00232131">
      <w:pPr>
        <w:autoSpaceDE w:val="0"/>
        <w:autoSpaceDN w:val="0"/>
        <w:adjustRightInd w:val="0"/>
        <w:jc w:val="both"/>
        <w:rPr>
          <w:rFonts w:ascii="Arial" w:hAnsi="Arial" w:cs="Arial"/>
          <w:kern w:val="0"/>
        </w:rPr>
      </w:pPr>
      <w:r w:rsidRPr="003B5C28">
        <w:rPr>
          <w:rFonts w:ascii="Arial" w:hAnsi="Arial" w:cs="Arial"/>
          <w:kern w:val="0"/>
        </w:rPr>
        <w:lastRenderedPageBreak/>
        <w:t>https://www.legambiente.it/comunicati-stampa/legambiente-presenta-comuni-rinnovabili-2023/</w:t>
      </w:r>
    </w:p>
    <w:p w14:paraId="4B3B27D2" w14:textId="6A89775F" w:rsidR="00232131" w:rsidRPr="003B5C28" w:rsidRDefault="00232131" w:rsidP="00232131">
      <w:pPr>
        <w:autoSpaceDE w:val="0"/>
        <w:autoSpaceDN w:val="0"/>
        <w:adjustRightInd w:val="0"/>
        <w:jc w:val="both"/>
        <w:rPr>
          <w:rFonts w:ascii="Arial" w:hAnsi="Arial" w:cs="Arial"/>
          <w:kern w:val="0"/>
        </w:rPr>
      </w:pPr>
      <w:r w:rsidRPr="003B5C28">
        <w:rPr>
          <w:rFonts w:ascii="Arial" w:hAnsi="Arial" w:cs="Arial"/>
          <w:kern w:val="0"/>
        </w:rPr>
        <w:t>Legambiente, Report Comunità Rinnovabili 2022</w:t>
      </w:r>
      <w:r w:rsidR="003B5C28" w:rsidRPr="003B5C28">
        <w:rPr>
          <w:rFonts w:ascii="Arial" w:hAnsi="Arial" w:cs="Arial"/>
          <w:kern w:val="0"/>
        </w:rPr>
        <w:t xml:space="preserve"> (corpus casi studio sviluppati nel 2022)</w:t>
      </w:r>
      <w:r w:rsidRPr="003B5C28">
        <w:rPr>
          <w:rFonts w:ascii="Arial" w:hAnsi="Arial" w:cs="Arial"/>
          <w:kern w:val="0"/>
        </w:rPr>
        <w:t>,</w:t>
      </w:r>
    </w:p>
    <w:p w14:paraId="377379E8" w14:textId="77777777" w:rsidR="00232131" w:rsidRPr="003B5C28" w:rsidRDefault="00232131" w:rsidP="00232131">
      <w:pPr>
        <w:autoSpaceDE w:val="0"/>
        <w:autoSpaceDN w:val="0"/>
        <w:adjustRightInd w:val="0"/>
        <w:jc w:val="both"/>
        <w:rPr>
          <w:rFonts w:ascii="Arial" w:hAnsi="Arial" w:cs="Arial"/>
          <w:kern w:val="0"/>
        </w:rPr>
      </w:pPr>
      <w:r w:rsidRPr="003B5C28">
        <w:rPr>
          <w:rFonts w:ascii="Arial" w:hAnsi="Arial" w:cs="Arial"/>
          <w:kern w:val="0"/>
        </w:rPr>
        <w:t>https://www.legambiente.it/wp-content/uploads/2022/05/Comunita-Rinnovabili-2022_Report.pdf?_gl=1*1cuiqsk*_up*MQ..*</w:t>
      </w:r>
    </w:p>
    <w:p w14:paraId="64189238" w14:textId="77777777" w:rsidR="00232131" w:rsidRPr="003B5C28" w:rsidRDefault="00232131" w:rsidP="00232131">
      <w:pPr>
        <w:autoSpaceDE w:val="0"/>
        <w:autoSpaceDN w:val="0"/>
        <w:adjustRightInd w:val="0"/>
        <w:jc w:val="both"/>
        <w:rPr>
          <w:rFonts w:ascii="Arial" w:hAnsi="Arial" w:cs="Arial"/>
          <w:kern w:val="0"/>
        </w:rPr>
      </w:pPr>
      <w:r w:rsidRPr="003B5C28">
        <w:rPr>
          <w:rFonts w:ascii="Arial" w:hAnsi="Arial" w:cs="Arial"/>
          <w:kern w:val="0"/>
        </w:rPr>
        <w:t>_ga*MTYwMzQ1Njc5NC4xNzA2NjUyNDY4*_ga_LX7CNT6SDN*MTcwNjY1MjQ2Ni4xLjAuMTcwNjY1MjQ2Ni4wLjAuMA..</w:t>
      </w:r>
    </w:p>
    <w:p w14:paraId="1DAE5F7D" w14:textId="03187E27" w:rsidR="00232131" w:rsidRPr="003B5C28" w:rsidRDefault="00232131" w:rsidP="00232131">
      <w:pPr>
        <w:autoSpaceDE w:val="0"/>
        <w:autoSpaceDN w:val="0"/>
        <w:adjustRightInd w:val="0"/>
        <w:jc w:val="both"/>
        <w:rPr>
          <w:rFonts w:ascii="Arial" w:hAnsi="Arial" w:cs="Arial"/>
          <w:kern w:val="0"/>
        </w:rPr>
      </w:pPr>
      <w:r w:rsidRPr="003B5C28">
        <w:rPr>
          <w:rFonts w:ascii="Arial" w:hAnsi="Arial" w:cs="Arial"/>
          <w:kern w:val="0"/>
        </w:rPr>
        <w:t>Legambiente, Report Comunità Rinnovabili 2021</w:t>
      </w:r>
      <w:r w:rsidR="003B5C28" w:rsidRPr="003B5C28">
        <w:rPr>
          <w:rFonts w:ascii="Arial" w:hAnsi="Arial" w:cs="Arial"/>
          <w:kern w:val="0"/>
        </w:rPr>
        <w:t xml:space="preserve"> (corpus casi studio sviluppati nel 2021)</w:t>
      </w:r>
      <w:r w:rsidRPr="003B5C28">
        <w:rPr>
          <w:rFonts w:ascii="Arial" w:hAnsi="Arial" w:cs="Arial"/>
          <w:kern w:val="0"/>
        </w:rPr>
        <w:t>,</w:t>
      </w:r>
    </w:p>
    <w:p w14:paraId="4591FC87" w14:textId="77777777" w:rsidR="00232131" w:rsidRPr="003B5C28" w:rsidRDefault="00232131" w:rsidP="00232131">
      <w:pPr>
        <w:autoSpaceDE w:val="0"/>
        <w:autoSpaceDN w:val="0"/>
        <w:adjustRightInd w:val="0"/>
        <w:jc w:val="both"/>
        <w:rPr>
          <w:rFonts w:ascii="Arial" w:hAnsi="Arial" w:cs="Arial"/>
          <w:kern w:val="0"/>
        </w:rPr>
      </w:pPr>
      <w:r w:rsidRPr="003B5C28">
        <w:rPr>
          <w:rFonts w:ascii="Arial" w:hAnsi="Arial" w:cs="Arial"/>
          <w:kern w:val="0"/>
        </w:rPr>
        <w:t>https://www.legambiente.it/wp-content/uploads/2021/07/Comunita-Rinnovabili-2021.pdf?_gl=1*174ltjq*_up*MQ..*_ga*OD</w:t>
      </w:r>
    </w:p>
    <w:p w14:paraId="0C9190C7" w14:textId="77777777" w:rsidR="00232131" w:rsidRPr="003B5C28" w:rsidRDefault="00232131" w:rsidP="00232131">
      <w:pPr>
        <w:autoSpaceDE w:val="0"/>
        <w:autoSpaceDN w:val="0"/>
        <w:adjustRightInd w:val="0"/>
        <w:jc w:val="both"/>
        <w:rPr>
          <w:rFonts w:ascii="Arial" w:hAnsi="Arial" w:cs="Arial"/>
          <w:kern w:val="0"/>
        </w:rPr>
      </w:pPr>
      <w:r w:rsidRPr="003B5C28">
        <w:rPr>
          <w:rFonts w:ascii="Arial" w:hAnsi="Arial" w:cs="Arial"/>
          <w:kern w:val="0"/>
        </w:rPr>
        <w:t>E3MzM1MTkyLjE3MDY2NTI1Mzk.*_ga_LX7CNT6SDN*MTcwNjY1MjUzNi4xLjAuMTcwNjY1MjUzNi4wLjAuMA..</w:t>
      </w:r>
    </w:p>
    <w:p w14:paraId="11F0D7E6" w14:textId="77777777" w:rsidR="00232131" w:rsidRPr="00232131" w:rsidRDefault="00232131" w:rsidP="00232131">
      <w:pPr>
        <w:autoSpaceDE w:val="0"/>
        <w:autoSpaceDN w:val="0"/>
        <w:adjustRightInd w:val="0"/>
        <w:jc w:val="both"/>
        <w:rPr>
          <w:rFonts w:ascii="Arial" w:hAnsi="Arial" w:cs="Arial"/>
          <w:kern w:val="0"/>
        </w:rPr>
      </w:pPr>
    </w:p>
    <w:p w14:paraId="476BCB94" w14:textId="77777777" w:rsidR="00232131" w:rsidRPr="00232131" w:rsidRDefault="00232131" w:rsidP="00232131">
      <w:pPr>
        <w:autoSpaceDE w:val="0"/>
        <w:autoSpaceDN w:val="0"/>
        <w:adjustRightInd w:val="0"/>
        <w:jc w:val="both"/>
        <w:rPr>
          <w:rFonts w:ascii="Arial" w:hAnsi="Arial" w:cs="Arial"/>
          <w:b/>
          <w:kern w:val="0"/>
        </w:rPr>
      </w:pPr>
      <w:r w:rsidRPr="00232131">
        <w:rPr>
          <w:rFonts w:ascii="Arial" w:hAnsi="Arial" w:cs="Arial"/>
          <w:b/>
          <w:kern w:val="0"/>
        </w:rPr>
        <w:t>Articoli e libri</w:t>
      </w:r>
    </w:p>
    <w:p w14:paraId="4696841A" w14:textId="06D96814" w:rsidR="00CD7AF4" w:rsidRPr="00CD7AF4" w:rsidRDefault="00CD7AF4" w:rsidP="00CD7AF4">
      <w:pPr>
        <w:pStyle w:val="ECVText"/>
        <w:jc w:val="both"/>
        <w:rPr>
          <w:rFonts w:eastAsiaTheme="minorHAnsi" w:cs="Arial"/>
          <w:color w:val="auto"/>
          <w:spacing w:val="0"/>
          <w:kern w:val="0"/>
          <w:sz w:val="24"/>
          <w:lang w:val="it-IT" w:eastAsia="en-US" w:bidi="ar-SA"/>
          <w14:ligatures w14:val="standardContextual"/>
        </w:rPr>
      </w:pPr>
      <w:r w:rsidRPr="00933DD7">
        <w:rPr>
          <w:rFonts w:eastAsiaTheme="minorHAnsi" w:cs="Arial"/>
          <w:color w:val="auto"/>
          <w:spacing w:val="0"/>
          <w:kern w:val="0"/>
          <w:sz w:val="24"/>
          <w:lang w:val="en-US" w:eastAsia="en-US" w:bidi="ar-SA"/>
          <w14:ligatures w14:val="standardContextual"/>
        </w:rPr>
        <w:t xml:space="preserve">P. Marrone, I. Montella (2023), “Territorial Energy Potential for Energy Community and climate </w:t>
      </w:r>
      <w:r w:rsidR="00933DD7" w:rsidRPr="00933DD7">
        <w:rPr>
          <w:rFonts w:eastAsiaTheme="minorHAnsi" w:cs="Arial"/>
          <w:color w:val="auto"/>
          <w:spacing w:val="0"/>
          <w:kern w:val="0"/>
          <w:sz w:val="24"/>
          <w:lang w:val="en-US" w:eastAsia="en-US" w:bidi="ar-SA"/>
          <w14:ligatures w14:val="standardContextual"/>
        </w:rPr>
        <w:t>mitigation actions</w:t>
      </w:r>
      <w:r w:rsidRPr="00933DD7">
        <w:rPr>
          <w:rFonts w:eastAsiaTheme="minorHAnsi" w:cs="Arial"/>
          <w:color w:val="auto"/>
          <w:spacing w:val="0"/>
          <w:kern w:val="0"/>
          <w:sz w:val="24"/>
          <w:lang w:val="en-US" w:eastAsia="en-US" w:bidi="ar-SA"/>
          <w14:ligatures w14:val="standardContextual"/>
        </w:rPr>
        <w:t xml:space="preserve">: experimentation on pilot cases in Rome”, In E.C. Eugenio Arbizzani (a cura di), Technological Imagination in the Green and Digital Transition (pp. 505-522). </w:t>
      </w:r>
      <w:r w:rsidRPr="00CD7AF4">
        <w:rPr>
          <w:rFonts w:eastAsiaTheme="minorHAnsi" w:cs="Arial"/>
          <w:color w:val="auto"/>
          <w:spacing w:val="0"/>
          <w:kern w:val="0"/>
          <w:sz w:val="24"/>
          <w:lang w:val="it-IT" w:eastAsia="en-US" w:bidi="ar-SA"/>
          <w14:ligatures w14:val="standardContextual"/>
        </w:rPr>
        <w:t>Springer [10.1007/978-3-031-29515-7].</w:t>
      </w:r>
    </w:p>
    <w:p w14:paraId="7B34FE27" w14:textId="1BE16EC1" w:rsidR="00CD7AF4" w:rsidRPr="00933DD7" w:rsidRDefault="00CD7AF4" w:rsidP="00CD7AF4">
      <w:pPr>
        <w:pStyle w:val="ECVText"/>
        <w:jc w:val="both"/>
        <w:rPr>
          <w:rFonts w:eastAsiaTheme="minorHAnsi" w:cs="Arial"/>
          <w:color w:val="auto"/>
          <w:spacing w:val="0"/>
          <w:kern w:val="0"/>
          <w:sz w:val="24"/>
          <w:lang w:val="en-US" w:eastAsia="en-US" w:bidi="ar-SA"/>
          <w14:ligatures w14:val="standardContextual"/>
        </w:rPr>
      </w:pPr>
      <w:r w:rsidRPr="00CD7AF4">
        <w:rPr>
          <w:rFonts w:eastAsiaTheme="minorHAnsi" w:cs="Arial"/>
          <w:color w:val="auto"/>
          <w:spacing w:val="0"/>
          <w:kern w:val="0"/>
          <w:sz w:val="24"/>
          <w:lang w:val="it-IT" w:eastAsia="en-US" w:bidi="ar-SA"/>
          <w14:ligatures w14:val="standardContextual"/>
        </w:rPr>
        <w:t xml:space="preserve">Marrone, P., Fiume, F., Laudani, A., Montella, I., Palermo, M., Fulginei, F.R. (2023). </w:t>
      </w:r>
      <w:r w:rsidRPr="00933DD7">
        <w:rPr>
          <w:rFonts w:eastAsiaTheme="minorHAnsi" w:cs="Arial"/>
          <w:color w:val="auto"/>
          <w:spacing w:val="0"/>
          <w:kern w:val="0"/>
          <w:sz w:val="24"/>
          <w:lang w:val="en-US" w:eastAsia="en-US" w:bidi="ar-SA"/>
          <w14:ligatures w14:val="standardContextual"/>
        </w:rPr>
        <w:t xml:space="preserve">“Distributed Energy Systems: Constraints and Opportunities in Urban Environments.” Energies 2023, 16, 2718. </w:t>
      </w:r>
      <w:hyperlink r:id="rId5" w:history="1">
        <w:r w:rsidRPr="00933DD7">
          <w:rPr>
            <w:rFonts w:eastAsiaTheme="minorHAnsi"/>
            <w:color w:val="auto"/>
            <w:spacing w:val="0"/>
            <w:kern w:val="0"/>
            <w:sz w:val="24"/>
            <w:lang w:val="en-US" w:eastAsia="en-US" w:bidi="ar-SA"/>
            <w14:ligatures w14:val="standardContextual"/>
          </w:rPr>
          <w:t>https://doi.org/10.3390/en16062718</w:t>
        </w:r>
      </w:hyperlink>
    </w:p>
    <w:p w14:paraId="57E5F640" w14:textId="2D7DD98D" w:rsidR="00CD7AF4" w:rsidRPr="00933DD7" w:rsidRDefault="00CD7AF4" w:rsidP="00CD7AF4">
      <w:pPr>
        <w:pStyle w:val="ECVText"/>
        <w:jc w:val="both"/>
        <w:rPr>
          <w:rFonts w:eastAsiaTheme="minorHAnsi" w:cs="Arial"/>
          <w:color w:val="auto"/>
          <w:spacing w:val="0"/>
          <w:kern w:val="0"/>
          <w:sz w:val="24"/>
          <w:lang w:val="en-US" w:eastAsia="en-US" w:bidi="ar-SA"/>
          <w14:ligatures w14:val="standardContextual"/>
        </w:rPr>
      </w:pPr>
      <w:r w:rsidRPr="00933DD7">
        <w:rPr>
          <w:rFonts w:eastAsiaTheme="minorHAnsi" w:cs="Arial"/>
          <w:color w:val="auto"/>
          <w:spacing w:val="0"/>
          <w:kern w:val="0"/>
          <w:sz w:val="24"/>
          <w:lang w:val="en-US" w:eastAsia="en-US" w:bidi="ar-SA"/>
          <w14:ligatures w14:val="standardContextual"/>
        </w:rPr>
        <w:t>Marrone, P., Montella, I. (2022). “An experimentation on the limits and potential of Renewable Energy Communities in the built city: buildings and proximity open spaces for energy decentralization.” RSET - RENEWABLE AND SUSTAINABLE ENERGY TRANSITION, 2, 100025 [10.1016/j.rset.2022.100025].</w:t>
      </w:r>
    </w:p>
    <w:p w14:paraId="47E4946B" w14:textId="5D7A7CFD" w:rsidR="00232131" w:rsidRPr="00232131" w:rsidRDefault="00232131" w:rsidP="00232131">
      <w:pPr>
        <w:autoSpaceDE w:val="0"/>
        <w:autoSpaceDN w:val="0"/>
        <w:adjustRightInd w:val="0"/>
        <w:jc w:val="both"/>
        <w:rPr>
          <w:rFonts w:ascii="Arial" w:hAnsi="Arial" w:cs="Arial"/>
          <w:kern w:val="0"/>
        </w:rPr>
      </w:pPr>
      <w:r w:rsidRPr="00232131">
        <w:rPr>
          <w:rFonts w:ascii="Arial" w:hAnsi="Arial" w:cs="Arial"/>
          <w:kern w:val="0"/>
        </w:rPr>
        <w:t>Bolognesi M, Magnaghi A (2020) Verso le comunità energetiche (Towards energy communities). Scienze del Territor</w:t>
      </w:r>
      <w:r>
        <w:rPr>
          <w:rFonts w:ascii="Arial" w:hAnsi="Arial" w:cs="Arial"/>
          <w:kern w:val="0"/>
        </w:rPr>
        <w:t xml:space="preserve">io, Special </w:t>
      </w:r>
      <w:r w:rsidRPr="00232131">
        <w:rPr>
          <w:rFonts w:ascii="Arial" w:hAnsi="Arial" w:cs="Arial"/>
          <w:kern w:val="0"/>
        </w:rPr>
        <w:t>issue Abitare il territorio al tempo del covid numero 142–150. https://doi.org/10.13128/sdt-12330</w:t>
      </w:r>
      <w:r w:rsidR="00933DD7">
        <w:rPr>
          <w:rFonts w:ascii="Arial" w:hAnsi="Arial" w:cs="Arial"/>
          <w:kern w:val="0"/>
        </w:rPr>
        <w:t>.</w:t>
      </w:r>
    </w:p>
    <w:p w14:paraId="600DAD58" w14:textId="049B1D60" w:rsidR="00232131" w:rsidRPr="00933DD7" w:rsidRDefault="00232131" w:rsidP="00232131">
      <w:pPr>
        <w:autoSpaceDE w:val="0"/>
        <w:autoSpaceDN w:val="0"/>
        <w:adjustRightInd w:val="0"/>
        <w:jc w:val="both"/>
        <w:rPr>
          <w:rFonts w:ascii="Arial" w:hAnsi="Arial" w:cs="Arial"/>
          <w:kern w:val="0"/>
          <w:lang w:val="en-US"/>
        </w:rPr>
      </w:pPr>
      <w:r w:rsidRPr="00933DD7">
        <w:rPr>
          <w:rFonts w:ascii="Arial" w:hAnsi="Arial" w:cs="Arial"/>
          <w:kern w:val="0"/>
          <w:lang w:val="en-US"/>
        </w:rPr>
        <w:t>Kyriakopoulos Grigorios L., Energy Communities Overview: Managerial Policies, Economic Aspects, Technologies, and Models, Journal of Risk and Financial Management 15, 2022, no. 11: 521.</w:t>
      </w:r>
    </w:p>
    <w:p w14:paraId="6B5DE37A" w14:textId="3D5C01C6" w:rsidR="00232131" w:rsidRPr="00933DD7" w:rsidRDefault="00232131" w:rsidP="00232131">
      <w:pPr>
        <w:autoSpaceDE w:val="0"/>
        <w:autoSpaceDN w:val="0"/>
        <w:adjustRightInd w:val="0"/>
        <w:jc w:val="both"/>
        <w:rPr>
          <w:rFonts w:ascii="Arial" w:hAnsi="Arial" w:cs="Arial"/>
          <w:kern w:val="0"/>
          <w:lang w:val="en-US"/>
        </w:rPr>
      </w:pPr>
      <w:r w:rsidRPr="00933DD7">
        <w:rPr>
          <w:rFonts w:ascii="Arial" w:hAnsi="Arial" w:cs="Arial"/>
          <w:kern w:val="0"/>
          <w:lang w:val="en-US"/>
        </w:rPr>
        <w:t>Marrone Paola, Montella Ilaria, An experimentation on the limits and potential of Renewable Energy Communities in the built city: buildings and proximity open spaces for energy decentralization, Renewable and Sustainable Energy Transition, Vol. 2,</w:t>
      </w:r>
    </w:p>
    <w:p w14:paraId="0BECA407" w14:textId="77777777" w:rsidR="00232131" w:rsidRPr="00232131" w:rsidRDefault="00232131" w:rsidP="00232131">
      <w:pPr>
        <w:autoSpaceDE w:val="0"/>
        <w:autoSpaceDN w:val="0"/>
        <w:adjustRightInd w:val="0"/>
        <w:jc w:val="both"/>
        <w:rPr>
          <w:rFonts w:ascii="Arial" w:hAnsi="Arial" w:cs="Arial"/>
          <w:kern w:val="0"/>
        </w:rPr>
      </w:pPr>
      <w:r w:rsidRPr="00232131">
        <w:rPr>
          <w:rFonts w:ascii="Arial" w:hAnsi="Arial" w:cs="Arial"/>
          <w:kern w:val="0"/>
        </w:rPr>
        <w:t>2022.</w:t>
      </w:r>
    </w:p>
    <w:p w14:paraId="68250D36" w14:textId="6B8767AB" w:rsidR="00232131" w:rsidRPr="00232131" w:rsidRDefault="00232131" w:rsidP="00232131">
      <w:pPr>
        <w:autoSpaceDE w:val="0"/>
        <w:autoSpaceDN w:val="0"/>
        <w:adjustRightInd w:val="0"/>
        <w:jc w:val="both"/>
        <w:rPr>
          <w:rFonts w:ascii="Arial" w:hAnsi="Arial" w:cs="Arial"/>
          <w:kern w:val="0"/>
        </w:rPr>
      </w:pPr>
      <w:r w:rsidRPr="00232131">
        <w:rPr>
          <w:rFonts w:ascii="Arial" w:hAnsi="Arial" w:cs="Arial"/>
          <w:kern w:val="0"/>
        </w:rPr>
        <w:t>RSE SpA - Ricerca sul Sistema Energetico (2021) Le comunità energetiche in Italia. Note per il coi</w:t>
      </w:r>
      <w:r>
        <w:rPr>
          <w:rFonts w:ascii="Arial" w:hAnsi="Arial" w:cs="Arial"/>
          <w:kern w:val="0"/>
        </w:rPr>
        <w:t xml:space="preserve">nvolgimento dei cittadini nella </w:t>
      </w:r>
      <w:r w:rsidRPr="00232131">
        <w:rPr>
          <w:rFonts w:ascii="Arial" w:hAnsi="Arial" w:cs="Arial"/>
          <w:kern w:val="0"/>
        </w:rPr>
        <w:t>transizione energetica. Alkes Editrice.</w:t>
      </w:r>
    </w:p>
    <w:p w14:paraId="33C0C288" w14:textId="02B9349D" w:rsidR="0012045F" w:rsidRPr="00232131" w:rsidRDefault="00232131" w:rsidP="00232131">
      <w:pPr>
        <w:autoSpaceDE w:val="0"/>
        <w:autoSpaceDN w:val="0"/>
        <w:adjustRightInd w:val="0"/>
        <w:jc w:val="both"/>
        <w:rPr>
          <w:rFonts w:ascii="Arial" w:hAnsi="Arial" w:cs="Arial"/>
          <w:kern w:val="0"/>
        </w:rPr>
      </w:pPr>
      <w:r w:rsidRPr="00232131">
        <w:rPr>
          <w:rFonts w:ascii="Arial" w:hAnsi="Arial" w:cs="Arial"/>
          <w:kern w:val="0"/>
        </w:rPr>
        <w:t>Sandroni C, Angelucci V, Armanasco F, et al (2021) Comunità dellʼEnergia: selezione casi di s</w:t>
      </w:r>
      <w:r>
        <w:rPr>
          <w:rFonts w:ascii="Arial" w:hAnsi="Arial" w:cs="Arial"/>
          <w:kern w:val="0"/>
        </w:rPr>
        <w:t xml:space="preserve">tudio ed analisi delle barriere </w:t>
      </w:r>
      <w:r w:rsidRPr="00232131">
        <w:rPr>
          <w:rFonts w:ascii="Arial" w:hAnsi="Arial" w:cs="Arial"/>
          <w:kern w:val="0"/>
        </w:rPr>
        <w:t>tecniche, economiche, autorizzative e regolatorie, RSE - Ricerca Sistema Energetico.</w:t>
      </w:r>
    </w:p>
    <w:sectPr w:rsidR="0012045F" w:rsidRPr="002321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Medium">
    <w:altName w:val="Century Gothic"/>
    <w:charset w:val="00"/>
    <w:family w:val="swiss"/>
    <w:pitch w:val="variable"/>
    <w:sig w:usb0="00000003" w:usb1="00000000" w:usb2="00000000" w:usb3="00000000" w:csb0="00000001" w:csb1="00000000"/>
  </w:font>
  <w:font w:name="Futura-Bold">
    <w:altName w:val="Century Gothic"/>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4058"/>
    <w:multiLevelType w:val="hybridMultilevel"/>
    <w:tmpl w:val="6D42F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214F5A"/>
    <w:multiLevelType w:val="multilevel"/>
    <w:tmpl w:val="4998C68C"/>
    <w:lvl w:ilvl="0">
      <w:start w:val="1"/>
      <w:numFmt w:val="decimal"/>
      <w:lvlText w:val="%1."/>
      <w:lvlJc w:val="left"/>
      <w:pPr>
        <w:ind w:left="360" w:hanging="360"/>
      </w:pPr>
      <w:rPr>
        <w:color w:val="0F4761" w:themeColor="accent1" w:themeShade="BF"/>
      </w:rPr>
    </w:lvl>
    <w:lvl w:ilvl="1">
      <w:start w:val="1"/>
      <w:numFmt w:val="decimal"/>
      <w:lvlText w:val="%1.%2."/>
      <w:lvlJc w:val="left"/>
      <w:pPr>
        <w:ind w:left="792" w:hanging="432"/>
      </w:pPr>
      <w:rPr>
        <w:b/>
        <w:color w:val="0F4761" w:themeColor="accent1" w:themeShade="BF"/>
        <w:sz w:val="22"/>
        <w:szCs w:val="22"/>
      </w:rPr>
    </w:lvl>
    <w:lvl w:ilvl="2">
      <w:start w:val="1"/>
      <w:numFmt w:val="decimal"/>
      <w:lvlText w:val="%1.%2.%3."/>
      <w:lvlJc w:val="left"/>
      <w:pPr>
        <w:ind w:left="1224" w:hanging="504"/>
      </w:pPr>
      <w:rPr>
        <w:b/>
        <w:color w:val="0F4761" w:themeColor="accent1" w:themeShade="BF"/>
        <w:sz w:val="20"/>
        <w:szCs w:val="20"/>
      </w:rPr>
    </w:lvl>
    <w:lvl w:ilvl="3">
      <w:numFmt w:val="bullet"/>
      <w:lvlText w:val="-"/>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F82E61"/>
    <w:multiLevelType w:val="hybridMultilevel"/>
    <w:tmpl w:val="1B167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A118F5"/>
    <w:multiLevelType w:val="hybridMultilevel"/>
    <w:tmpl w:val="68AC0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D77790"/>
    <w:multiLevelType w:val="hybridMultilevel"/>
    <w:tmpl w:val="64DE105E"/>
    <w:lvl w:ilvl="0" w:tplc="7CB0DFE2">
      <w:numFmt w:val="bullet"/>
      <w:lvlText w:val="-"/>
      <w:lvlJc w:val="left"/>
      <w:pPr>
        <w:ind w:left="705" w:hanging="705"/>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22A11CB"/>
    <w:multiLevelType w:val="hybridMultilevel"/>
    <w:tmpl w:val="913058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591893">
    <w:abstractNumId w:val="4"/>
  </w:num>
  <w:num w:numId="2" w16cid:durableId="2118285499">
    <w:abstractNumId w:val="2"/>
  </w:num>
  <w:num w:numId="3" w16cid:durableId="1751586038">
    <w:abstractNumId w:val="3"/>
  </w:num>
  <w:num w:numId="4" w16cid:durableId="871385772">
    <w:abstractNumId w:val="5"/>
  </w:num>
  <w:num w:numId="5" w16cid:durableId="1976525360">
    <w:abstractNumId w:val="0"/>
  </w:num>
  <w:num w:numId="6" w16cid:durableId="219176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45F"/>
    <w:rsid w:val="00011FE3"/>
    <w:rsid w:val="00067364"/>
    <w:rsid w:val="0012045F"/>
    <w:rsid w:val="00142874"/>
    <w:rsid w:val="00232131"/>
    <w:rsid w:val="002A5A34"/>
    <w:rsid w:val="003B5C28"/>
    <w:rsid w:val="003C07C1"/>
    <w:rsid w:val="003F2A8A"/>
    <w:rsid w:val="00471F27"/>
    <w:rsid w:val="00572CED"/>
    <w:rsid w:val="00617DCE"/>
    <w:rsid w:val="00653D1D"/>
    <w:rsid w:val="00655019"/>
    <w:rsid w:val="006721F0"/>
    <w:rsid w:val="006A386C"/>
    <w:rsid w:val="00704DFD"/>
    <w:rsid w:val="00710163"/>
    <w:rsid w:val="007F3935"/>
    <w:rsid w:val="008127B1"/>
    <w:rsid w:val="00821F19"/>
    <w:rsid w:val="00844596"/>
    <w:rsid w:val="008A3010"/>
    <w:rsid w:val="008D3967"/>
    <w:rsid w:val="008D78AC"/>
    <w:rsid w:val="00933DD7"/>
    <w:rsid w:val="009C2D97"/>
    <w:rsid w:val="009C4775"/>
    <w:rsid w:val="00AA2164"/>
    <w:rsid w:val="00B04270"/>
    <w:rsid w:val="00B46AFA"/>
    <w:rsid w:val="00B47938"/>
    <w:rsid w:val="00B71182"/>
    <w:rsid w:val="00B97E48"/>
    <w:rsid w:val="00C551D8"/>
    <w:rsid w:val="00C76451"/>
    <w:rsid w:val="00CD7AF4"/>
    <w:rsid w:val="00E23196"/>
    <w:rsid w:val="00E40172"/>
    <w:rsid w:val="00E8382E"/>
    <w:rsid w:val="00F55ADD"/>
    <w:rsid w:val="00FF6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0561"/>
  <w15:docId w15:val="{9DAE9F0D-1208-FD45-BFEE-D8ECE3B9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20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20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2045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2045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2045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2045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045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045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045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045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2045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2045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2045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2045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204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04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04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04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045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04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045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04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045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045F"/>
    <w:rPr>
      <w:i/>
      <w:iCs/>
      <w:color w:val="404040" w:themeColor="text1" w:themeTint="BF"/>
    </w:rPr>
  </w:style>
  <w:style w:type="paragraph" w:styleId="Paragrafoelenco">
    <w:name w:val="List Paragraph"/>
    <w:basedOn w:val="Normale"/>
    <w:uiPriority w:val="34"/>
    <w:qFormat/>
    <w:rsid w:val="0012045F"/>
    <w:pPr>
      <w:ind w:left="720"/>
      <w:contextualSpacing/>
    </w:pPr>
  </w:style>
  <w:style w:type="character" w:styleId="Enfasiintensa">
    <w:name w:val="Intense Emphasis"/>
    <w:basedOn w:val="Carpredefinitoparagrafo"/>
    <w:uiPriority w:val="21"/>
    <w:qFormat/>
    <w:rsid w:val="0012045F"/>
    <w:rPr>
      <w:i/>
      <w:iCs/>
      <w:color w:val="0F4761" w:themeColor="accent1" w:themeShade="BF"/>
    </w:rPr>
  </w:style>
  <w:style w:type="paragraph" w:styleId="Citazioneintensa">
    <w:name w:val="Intense Quote"/>
    <w:basedOn w:val="Normale"/>
    <w:next w:val="Normale"/>
    <w:link w:val="CitazioneintensaCarattere"/>
    <w:uiPriority w:val="30"/>
    <w:qFormat/>
    <w:rsid w:val="00120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2045F"/>
    <w:rPr>
      <w:i/>
      <w:iCs/>
      <w:color w:val="0F4761" w:themeColor="accent1" w:themeShade="BF"/>
    </w:rPr>
  </w:style>
  <w:style w:type="character" w:styleId="Riferimentointenso">
    <w:name w:val="Intense Reference"/>
    <w:basedOn w:val="Carpredefinitoparagrafo"/>
    <w:uiPriority w:val="32"/>
    <w:qFormat/>
    <w:rsid w:val="0012045F"/>
    <w:rPr>
      <w:b/>
      <w:bCs/>
      <w:smallCaps/>
      <w:color w:val="0F4761" w:themeColor="accent1" w:themeShade="BF"/>
      <w:spacing w:val="5"/>
    </w:rPr>
  </w:style>
  <w:style w:type="character" w:styleId="Collegamentoipertestuale">
    <w:name w:val="Hyperlink"/>
    <w:basedOn w:val="Carpredefinitoparagrafo"/>
    <w:uiPriority w:val="99"/>
    <w:unhideWhenUsed/>
    <w:rsid w:val="00232131"/>
    <w:rPr>
      <w:color w:val="467886" w:themeColor="hyperlink"/>
      <w:u w:val="single"/>
    </w:rPr>
  </w:style>
  <w:style w:type="paragraph" w:customStyle="1" w:styleId="ECVText">
    <w:name w:val="_ECV_Text"/>
    <w:basedOn w:val="Corpotesto"/>
    <w:rsid w:val="00CD7AF4"/>
    <w:pPr>
      <w:widowControl w:val="0"/>
      <w:suppressAutoHyphens/>
      <w:spacing w:after="0" w:line="100" w:lineRule="atLeast"/>
    </w:pPr>
    <w:rPr>
      <w:rFonts w:ascii="Arial" w:eastAsia="SimSun" w:hAnsi="Arial" w:cs="Mangal"/>
      <w:color w:val="3F3A38"/>
      <w:spacing w:val="-6"/>
      <w:kern w:val="1"/>
      <w:sz w:val="16"/>
      <w:lang w:val="en-GB" w:eastAsia="zh-CN" w:bidi="hi-IN"/>
      <w14:ligatures w14:val="none"/>
    </w:rPr>
  </w:style>
  <w:style w:type="paragraph" w:styleId="Corpotesto">
    <w:name w:val="Body Text"/>
    <w:basedOn w:val="Normale"/>
    <w:link w:val="CorpotestoCarattere"/>
    <w:uiPriority w:val="99"/>
    <w:semiHidden/>
    <w:unhideWhenUsed/>
    <w:rsid w:val="00CD7AF4"/>
    <w:pPr>
      <w:spacing w:after="120"/>
    </w:pPr>
  </w:style>
  <w:style w:type="character" w:customStyle="1" w:styleId="CorpotestoCarattere">
    <w:name w:val="Corpo testo Carattere"/>
    <w:basedOn w:val="Carpredefinitoparagrafo"/>
    <w:link w:val="Corpotesto"/>
    <w:uiPriority w:val="99"/>
    <w:semiHidden/>
    <w:rsid w:val="00CD7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390/en16062718"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1536</Words>
  <Characters>8760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Marrone</dc:creator>
  <cp:lastModifiedBy>Luigi Spadoni</cp:lastModifiedBy>
  <cp:revision>11</cp:revision>
  <dcterms:created xsi:type="dcterms:W3CDTF">2025-02-04T16:01:00Z</dcterms:created>
  <dcterms:modified xsi:type="dcterms:W3CDTF">2025-03-21T09:45:00Z</dcterms:modified>
</cp:coreProperties>
</file>